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9E" w:rsidRPr="00504C20" w:rsidRDefault="00C7039E" w:rsidP="004E5553">
      <w:pPr>
        <w:jc w:val="left"/>
        <w:rPr>
          <w:color w:val="000000" w:themeColor="text1"/>
          <w:szCs w:val="24"/>
        </w:rPr>
      </w:pPr>
    </w:p>
    <w:p w:rsidR="00CA1CD9" w:rsidRDefault="00CA1CD9" w:rsidP="00CA1CD9">
      <w:pPr>
        <w:rPr>
          <w:color w:val="000000" w:themeColor="text1"/>
          <w:szCs w:val="24"/>
        </w:rPr>
      </w:pPr>
    </w:p>
    <w:p w:rsidR="000854C8" w:rsidRPr="00CA1CD9" w:rsidRDefault="00CA1CD9" w:rsidP="004E5553">
      <w:pPr>
        <w:jc w:val="center"/>
        <w:rPr>
          <w:color w:val="000000" w:themeColor="text1"/>
          <w:sz w:val="28"/>
          <w:szCs w:val="28"/>
        </w:rPr>
      </w:pPr>
      <w:bookmarkStart w:id="0" w:name="_GoBack"/>
      <w:r w:rsidRPr="00CA1CD9">
        <w:rPr>
          <w:color w:val="000000" w:themeColor="text1"/>
          <w:sz w:val="28"/>
          <w:szCs w:val="28"/>
        </w:rPr>
        <w:t xml:space="preserve">Comments on </w:t>
      </w:r>
      <w:r>
        <w:rPr>
          <w:color w:val="000000" w:themeColor="text1"/>
          <w:sz w:val="28"/>
          <w:szCs w:val="28"/>
        </w:rPr>
        <w:t xml:space="preserve">the </w:t>
      </w:r>
      <w:r w:rsidR="000854C8" w:rsidRPr="00CA1CD9">
        <w:rPr>
          <w:color w:val="000000" w:themeColor="text1"/>
          <w:sz w:val="28"/>
          <w:szCs w:val="28"/>
        </w:rPr>
        <w:t>OECD Public Discussion Draft on the BEPS Action 7</w:t>
      </w:r>
      <w:bookmarkEnd w:id="0"/>
      <w:r w:rsidR="000854C8" w:rsidRPr="00CA1CD9">
        <w:rPr>
          <w:color w:val="000000" w:themeColor="text1"/>
          <w:sz w:val="28"/>
          <w:szCs w:val="28"/>
        </w:rPr>
        <w:t>:</w:t>
      </w:r>
    </w:p>
    <w:p w:rsidR="000854C8" w:rsidRPr="00CA1CD9" w:rsidRDefault="000854C8" w:rsidP="004E5553">
      <w:pPr>
        <w:jc w:val="center"/>
        <w:rPr>
          <w:color w:val="000000" w:themeColor="text1"/>
          <w:sz w:val="28"/>
          <w:szCs w:val="28"/>
        </w:rPr>
      </w:pPr>
      <w:r w:rsidRPr="00CA1CD9">
        <w:rPr>
          <w:color w:val="000000" w:themeColor="text1"/>
          <w:sz w:val="28"/>
          <w:szCs w:val="28"/>
        </w:rPr>
        <w:t>Preventing the Artificial Avoidance of Permanent Establishment Status</w:t>
      </w:r>
    </w:p>
    <w:p w:rsidR="00C7039E" w:rsidRPr="00504C20" w:rsidRDefault="00C7039E" w:rsidP="004E5553">
      <w:pPr>
        <w:jc w:val="center"/>
        <w:rPr>
          <w:color w:val="000000" w:themeColor="text1"/>
        </w:rPr>
      </w:pPr>
      <w:r w:rsidRPr="00504C20">
        <w:rPr>
          <w:color w:val="000000" w:themeColor="text1"/>
        </w:rPr>
        <w:t>Paris,</w:t>
      </w:r>
      <w:r w:rsidR="0023216D" w:rsidRPr="00504C20">
        <w:rPr>
          <w:color w:val="000000" w:themeColor="text1"/>
        </w:rPr>
        <w:t xml:space="preserve"> </w:t>
      </w:r>
      <w:r w:rsidR="00CA1CD9">
        <w:rPr>
          <w:color w:val="000000" w:themeColor="text1"/>
        </w:rPr>
        <w:t>9</w:t>
      </w:r>
      <w:r w:rsidR="0060415D" w:rsidRPr="00504C20">
        <w:rPr>
          <w:color w:val="000000" w:themeColor="text1"/>
        </w:rPr>
        <w:t xml:space="preserve"> January 2015</w:t>
      </w:r>
    </w:p>
    <w:p w:rsidR="00C7039E" w:rsidRDefault="00C7039E" w:rsidP="004E5553">
      <w:pPr>
        <w:jc w:val="left"/>
        <w:rPr>
          <w:b/>
          <w:color w:val="000000" w:themeColor="text1"/>
        </w:rPr>
      </w:pPr>
    </w:p>
    <w:p w:rsidR="001A2E19" w:rsidRPr="00504C20" w:rsidRDefault="001A2E19" w:rsidP="004E5553">
      <w:pPr>
        <w:jc w:val="left"/>
        <w:rPr>
          <w:b/>
          <w:color w:val="000000" w:themeColor="text1"/>
        </w:rPr>
      </w:pPr>
    </w:p>
    <w:p w:rsidR="00C50BC1" w:rsidRPr="00504C20" w:rsidRDefault="001A2E19" w:rsidP="004E5553">
      <w:pPr>
        <w:pStyle w:val="Num-DocParagraph"/>
        <w:spacing w:after="0"/>
        <w:jc w:val="left"/>
        <w:rPr>
          <w:color w:val="000000" w:themeColor="text1"/>
        </w:rPr>
      </w:pPr>
      <w:r>
        <w:rPr>
          <w:color w:val="000000" w:themeColor="text1"/>
        </w:rPr>
        <w:t>1.</w:t>
      </w:r>
      <w:r>
        <w:rPr>
          <w:color w:val="000000" w:themeColor="text1"/>
        </w:rPr>
        <w:tab/>
      </w:r>
      <w:r w:rsidR="00C7039E" w:rsidRPr="00504C20">
        <w:rPr>
          <w:color w:val="000000" w:themeColor="text1"/>
        </w:rPr>
        <w:t xml:space="preserve">The TUAC welcomes the opportunity to provide comments on </w:t>
      </w:r>
      <w:r w:rsidR="000854C8" w:rsidRPr="00504C20">
        <w:rPr>
          <w:color w:val="000000" w:themeColor="text1"/>
        </w:rPr>
        <w:t xml:space="preserve">various </w:t>
      </w:r>
      <w:r w:rsidR="00A37A1E" w:rsidRPr="00504C20">
        <w:rPr>
          <w:color w:val="000000" w:themeColor="text1"/>
        </w:rPr>
        <w:t xml:space="preserve">OECD </w:t>
      </w:r>
      <w:r w:rsidR="00695200" w:rsidRPr="00504C20">
        <w:rPr>
          <w:color w:val="000000" w:themeColor="text1"/>
        </w:rPr>
        <w:t xml:space="preserve">amendment proposals </w:t>
      </w:r>
      <w:r w:rsidR="000854C8" w:rsidRPr="00504C20">
        <w:rPr>
          <w:color w:val="000000" w:themeColor="text1"/>
        </w:rPr>
        <w:t>to</w:t>
      </w:r>
      <w:r w:rsidR="00A37A1E" w:rsidRPr="00504C20">
        <w:rPr>
          <w:color w:val="000000" w:themeColor="text1"/>
        </w:rPr>
        <w:t xml:space="preserve"> article 5 of</w:t>
      </w:r>
      <w:r w:rsidR="000854C8" w:rsidRPr="00504C20">
        <w:rPr>
          <w:color w:val="000000" w:themeColor="text1"/>
        </w:rPr>
        <w:t xml:space="preserve"> the OECD Model Tax Convention</w:t>
      </w:r>
      <w:r w:rsidR="00A37A1E" w:rsidRPr="00504C20">
        <w:rPr>
          <w:color w:val="000000" w:themeColor="text1"/>
        </w:rPr>
        <w:t xml:space="preserve"> to fulfil the commitment by the G20 to prevent the a</w:t>
      </w:r>
      <w:r w:rsidR="009A7D5B" w:rsidRPr="00504C20">
        <w:rPr>
          <w:color w:val="000000" w:themeColor="text1"/>
        </w:rPr>
        <w:t>r</w:t>
      </w:r>
      <w:r w:rsidR="00A37A1E" w:rsidRPr="00504C20">
        <w:rPr>
          <w:color w:val="000000" w:themeColor="text1"/>
        </w:rPr>
        <w:t>tificial avoidance by mult</w:t>
      </w:r>
      <w:r w:rsidR="009A7D5B" w:rsidRPr="00504C20">
        <w:rPr>
          <w:color w:val="000000" w:themeColor="text1"/>
        </w:rPr>
        <w:t>i</w:t>
      </w:r>
      <w:r w:rsidR="00A37A1E" w:rsidRPr="00504C20">
        <w:rPr>
          <w:color w:val="000000" w:themeColor="text1"/>
        </w:rPr>
        <w:t>nation</w:t>
      </w:r>
      <w:r w:rsidR="009A7D5B" w:rsidRPr="00504C20">
        <w:rPr>
          <w:color w:val="000000" w:themeColor="text1"/>
        </w:rPr>
        <w:t>a</w:t>
      </w:r>
      <w:r w:rsidR="00A37A1E" w:rsidRPr="00504C20">
        <w:rPr>
          <w:color w:val="000000" w:themeColor="text1"/>
        </w:rPr>
        <w:t>l ente</w:t>
      </w:r>
      <w:r w:rsidR="009A7D5B" w:rsidRPr="00504C20">
        <w:rPr>
          <w:color w:val="000000" w:themeColor="text1"/>
        </w:rPr>
        <w:t>r</w:t>
      </w:r>
      <w:r w:rsidR="00A37A1E" w:rsidRPr="00504C20">
        <w:rPr>
          <w:color w:val="000000" w:themeColor="text1"/>
        </w:rPr>
        <w:t xml:space="preserve">prises </w:t>
      </w:r>
      <w:r w:rsidR="009A7D5B" w:rsidRPr="00504C20">
        <w:rPr>
          <w:color w:val="000000" w:themeColor="text1"/>
        </w:rPr>
        <w:t xml:space="preserve">(MNEs) </w:t>
      </w:r>
      <w:r w:rsidR="00A37A1E" w:rsidRPr="00504C20">
        <w:rPr>
          <w:color w:val="000000" w:themeColor="text1"/>
        </w:rPr>
        <w:t xml:space="preserve">of the permanent establishment </w:t>
      </w:r>
      <w:r w:rsidR="009009BF" w:rsidRPr="00504C20">
        <w:rPr>
          <w:color w:val="000000" w:themeColor="text1"/>
        </w:rPr>
        <w:t xml:space="preserve">(PE) </w:t>
      </w:r>
      <w:r w:rsidR="00A37A1E" w:rsidRPr="00504C20">
        <w:rPr>
          <w:color w:val="000000" w:themeColor="text1"/>
        </w:rPr>
        <w:t>status</w:t>
      </w:r>
      <w:r w:rsidR="009009BF" w:rsidRPr="00504C20">
        <w:rPr>
          <w:color w:val="000000" w:themeColor="text1"/>
        </w:rPr>
        <w:t xml:space="preserve"> for the legal setting of their foreign activities, as outlined under Action n°7 of</w:t>
      </w:r>
      <w:r w:rsidR="00001DB9" w:rsidRPr="00504C20">
        <w:rPr>
          <w:color w:val="000000" w:themeColor="text1"/>
        </w:rPr>
        <w:t xml:space="preserve"> the Base Erosion and Profit Shi</w:t>
      </w:r>
      <w:r w:rsidR="009009BF" w:rsidRPr="00504C20">
        <w:rPr>
          <w:color w:val="000000" w:themeColor="text1"/>
        </w:rPr>
        <w:t xml:space="preserve">fting </w:t>
      </w:r>
      <w:r w:rsidR="009A7D5B" w:rsidRPr="00504C20">
        <w:rPr>
          <w:color w:val="000000" w:themeColor="text1"/>
        </w:rPr>
        <w:t xml:space="preserve">(BEPS) </w:t>
      </w:r>
      <w:r w:rsidR="009009BF" w:rsidRPr="00504C20">
        <w:rPr>
          <w:color w:val="000000" w:themeColor="text1"/>
        </w:rPr>
        <w:t>Action Plan. Action 7 specif</w:t>
      </w:r>
      <w:r w:rsidR="009A7D5B" w:rsidRPr="00504C20">
        <w:rPr>
          <w:color w:val="000000" w:themeColor="text1"/>
        </w:rPr>
        <w:t>ies</w:t>
      </w:r>
      <w:r w:rsidR="009009BF" w:rsidRPr="00504C20">
        <w:rPr>
          <w:color w:val="000000" w:themeColor="text1"/>
        </w:rPr>
        <w:t xml:space="preserve"> the </w:t>
      </w:r>
      <w:r w:rsidR="009A7D5B" w:rsidRPr="00504C20">
        <w:rPr>
          <w:color w:val="000000" w:themeColor="text1"/>
        </w:rPr>
        <w:t xml:space="preserve">OECD and G20 </w:t>
      </w:r>
      <w:r w:rsidR="009009BF" w:rsidRPr="00504C20">
        <w:rPr>
          <w:color w:val="000000" w:themeColor="text1"/>
        </w:rPr>
        <w:t>commitment to “</w:t>
      </w:r>
      <w:r w:rsidR="009A7D5B" w:rsidRPr="00504C20">
        <w:rPr>
          <w:color w:val="000000" w:themeColor="text1"/>
        </w:rPr>
        <w:t>d</w:t>
      </w:r>
      <w:r w:rsidR="00A37A1E" w:rsidRPr="00504C20">
        <w:rPr>
          <w:color w:val="000000" w:themeColor="text1"/>
        </w:rPr>
        <w:t xml:space="preserve">evelop changes to the definition of PE to prevent the artificial avoidance of PE status in relation to BEPS, including through the use of </w:t>
      </w:r>
      <w:proofErr w:type="spellStart"/>
      <w:r w:rsidR="00A37A1E" w:rsidRPr="00504C20">
        <w:rPr>
          <w:color w:val="000000" w:themeColor="text1"/>
        </w:rPr>
        <w:t>commissionnaire</w:t>
      </w:r>
      <w:proofErr w:type="spellEnd"/>
      <w:r w:rsidR="00A37A1E" w:rsidRPr="00504C20">
        <w:rPr>
          <w:color w:val="000000" w:themeColor="text1"/>
        </w:rPr>
        <w:t xml:space="preserve"> arrangements and the specific activity exemptions</w:t>
      </w:r>
      <w:r w:rsidR="009009BF" w:rsidRPr="00504C20">
        <w:rPr>
          <w:color w:val="000000" w:themeColor="text1"/>
        </w:rPr>
        <w:t>”</w:t>
      </w:r>
      <w:r w:rsidR="00A37A1E" w:rsidRPr="00504C20">
        <w:rPr>
          <w:color w:val="000000" w:themeColor="text1"/>
        </w:rPr>
        <w:t>.</w:t>
      </w:r>
    </w:p>
    <w:p w:rsidR="00C50BC1" w:rsidRPr="00504C20" w:rsidRDefault="00C50BC1" w:rsidP="004E5553">
      <w:pPr>
        <w:pStyle w:val="Num-DocParagraph"/>
        <w:spacing w:after="0"/>
        <w:jc w:val="left"/>
        <w:rPr>
          <w:color w:val="000000" w:themeColor="text1"/>
        </w:rPr>
      </w:pPr>
    </w:p>
    <w:p w:rsidR="005F4110" w:rsidRPr="00504C20" w:rsidRDefault="00C50BC1" w:rsidP="005F4110">
      <w:pPr>
        <w:pStyle w:val="Heading1"/>
        <w:rPr>
          <w:rFonts w:ascii="Times New Roman" w:hAnsi="Times New Roman" w:cs="Times New Roman"/>
          <w:color w:val="000000" w:themeColor="text1"/>
        </w:rPr>
      </w:pPr>
      <w:r w:rsidRPr="00504C20">
        <w:rPr>
          <w:rFonts w:ascii="Times New Roman" w:hAnsi="Times New Roman" w:cs="Times New Roman"/>
          <w:color w:val="000000" w:themeColor="text1"/>
        </w:rPr>
        <w:t>Why it matters for workers</w:t>
      </w:r>
    </w:p>
    <w:p w:rsidR="00266A10" w:rsidRPr="00504C20" w:rsidRDefault="001A2E19" w:rsidP="00266A10">
      <w:pPr>
        <w:pStyle w:val="Num-DocParagraph"/>
        <w:spacing w:after="0"/>
        <w:jc w:val="left"/>
        <w:rPr>
          <w:color w:val="000000" w:themeColor="text1"/>
        </w:rPr>
      </w:pPr>
      <w:r>
        <w:rPr>
          <w:color w:val="000000" w:themeColor="text1"/>
        </w:rPr>
        <w:t>2.</w:t>
      </w:r>
      <w:r>
        <w:rPr>
          <w:color w:val="000000" w:themeColor="text1"/>
        </w:rPr>
        <w:tab/>
      </w:r>
      <w:r w:rsidR="00C50BC1" w:rsidRPr="00504C20">
        <w:rPr>
          <w:color w:val="000000" w:themeColor="text1"/>
        </w:rPr>
        <w:t xml:space="preserve">Trade unions are especially concerned that international tax rules should be reformed to ensure that multinationals are taxed “where economic activities take place and value is created”, as mandated by the G20 Leaders. </w:t>
      </w:r>
      <w:r w:rsidR="00C45FE9" w:rsidRPr="00504C20">
        <w:rPr>
          <w:color w:val="000000" w:themeColor="text1"/>
        </w:rPr>
        <w:t xml:space="preserve">Corporate </w:t>
      </w:r>
      <w:r w:rsidR="00E45D39" w:rsidRPr="00504C20">
        <w:rPr>
          <w:color w:val="000000" w:themeColor="text1"/>
        </w:rPr>
        <w:t xml:space="preserve">BEPS </w:t>
      </w:r>
      <w:r w:rsidR="00C45FE9" w:rsidRPr="00504C20">
        <w:rPr>
          <w:color w:val="000000" w:themeColor="text1"/>
        </w:rPr>
        <w:t xml:space="preserve">tax avoidance practices by MNEs </w:t>
      </w:r>
      <w:r w:rsidR="00E45D39" w:rsidRPr="00504C20">
        <w:rPr>
          <w:color w:val="000000" w:themeColor="text1"/>
        </w:rPr>
        <w:t>matter for governments and the</w:t>
      </w:r>
      <w:r w:rsidR="009A7D5B" w:rsidRPr="00504C20">
        <w:rPr>
          <w:color w:val="000000" w:themeColor="text1"/>
        </w:rPr>
        <w:t>ir</w:t>
      </w:r>
      <w:r w:rsidR="00E45D39" w:rsidRPr="00504C20">
        <w:rPr>
          <w:color w:val="000000" w:themeColor="text1"/>
        </w:rPr>
        <w:t xml:space="preserve"> tax collectors. </w:t>
      </w:r>
      <w:r w:rsidR="00C45FE9" w:rsidRPr="00504C20">
        <w:rPr>
          <w:color w:val="000000" w:themeColor="text1"/>
        </w:rPr>
        <w:t>They</w:t>
      </w:r>
      <w:r w:rsidR="009A7D5B" w:rsidRPr="00504C20">
        <w:rPr>
          <w:color w:val="000000" w:themeColor="text1"/>
        </w:rPr>
        <w:t xml:space="preserve"> </w:t>
      </w:r>
      <w:r w:rsidR="0060415D" w:rsidRPr="00504C20">
        <w:rPr>
          <w:color w:val="000000" w:themeColor="text1"/>
        </w:rPr>
        <w:t xml:space="preserve">also </w:t>
      </w:r>
      <w:r w:rsidR="00180224" w:rsidRPr="00504C20">
        <w:rPr>
          <w:color w:val="000000" w:themeColor="text1"/>
        </w:rPr>
        <w:t xml:space="preserve">matter for other </w:t>
      </w:r>
      <w:r w:rsidR="005431B9" w:rsidRPr="00504C20">
        <w:rPr>
          <w:color w:val="000000" w:themeColor="text1"/>
        </w:rPr>
        <w:t xml:space="preserve">corporate </w:t>
      </w:r>
      <w:r w:rsidR="00180224" w:rsidRPr="00504C20">
        <w:rPr>
          <w:color w:val="000000" w:themeColor="text1"/>
        </w:rPr>
        <w:t xml:space="preserve">stakeholders. </w:t>
      </w:r>
      <w:r w:rsidR="009A7D5B" w:rsidRPr="00504C20">
        <w:rPr>
          <w:color w:val="000000" w:themeColor="text1"/>
        </w:rPr>
        <w:t>When an MNE escape</w:t>
      </w:r>
      <w:r w:rsidR="0060415D" w:rsidRPr="00504C20">
        <w:rPr>
          <w:color w:val="000000" w:themeColor="text1"/>
        </w:rPr>
        <w:t>s</w:t>
      </w:r>
      <w:r w:rsidR="009A7D5B" w:rsidRPr="00504C20">
        <w:rPr>
          <w:color w:val="000000" w:themeColor="text1"/>
        </w:rPr>
        <w:t xml:space="preserve"> its obligations vis</w:t>
      </w:r>
      <w:r w:rsidR="005431B9" w:rsidRPr="00504C20">
        <w:rPr>
          <w:color w:val="000000" w:themeColor="text1"/>
        </w:rPr>
        <w:t>-</w:t>
      </w:r>
      <w:r w:rsidR="009A7D5B" w:rsidRPr="00504C20">
        <w:rPr>
          <w:color w:val="000000" w:themeColor="text1"/>
        </w:rPr>
        <w:t>à</w:t>
      </w:r>
      <w:r w:rsidR="005431B9" w:rsidRPr="00504C20">
        <w:rPr>
          <w:color w:val="000000" w:themeColor="text1"/>
        </w:rPr>
        <w:t>-</w:t>
      </w:r>
      <w:r w:rsidR="009A7D5B" w:rsidRPr="00504C20">
        <w:rPr>
          <w:color w:val="000000" w:themeColor="text1"/>
        </w:rPr>
        <w:t xml:space="preserve">vis the tax collector, </w:t>
      </w:r>
      <w:r w:rsidR="00D97582" w:rsidRPr="00504C20">
        <w:rPr>
          <w:color w:val="000000" w:themeColor="text1"/>
        </w:rPr>
        <w:t>its obligations vis</w:t>
      </w:r>
      <w:r w:rsidR="005431B9" w:rsidRPr="00504C20">
        <w:rPr>
          <w:color w:val="000000" w:themeColor="text1"/>
        </w:rPr>
        <w:t>-</w:t>
      </w:r>
      <w:r w:rsidR="00D97582" w:rsidRPr="00504C20">
        <w:rPr>
          <w:color w:val="000000" w:themeColor="text1"/>
        </w:rPr>
        <w:t>à</w:t>
      </w:r>
      <w:r w:rsidR="005431B9" w:rsidRPr="00504C20">
        <w:rPr>
          <w:color w:val="000000" w:themeColor="text1"/>
        </w:rPr>
        <w:t>-</w:t>
      </w:r>
      <w:r w:rsidR="00D97582" w:rsidRPr="00504C20">
        <w:rPr>
          <w:color w:val="000000" w:themeColor="text1"/>
        </w:rPr>
        <w:t xml:space="preserve">vis other stakeholders, including workers, </w:t>
      </w:r>
      <w:r w:rsidR="00266A10" w:rsidRPr="00504C20">
        <w:rPr>
          <w:color w:val="000000" w:themeColor="text1"/>
        </w:rPr>
        <w:t xml:space="preserve">may also be </w:t>
      </w:r>
      <w:r w:rsidR="00C45FE9" w:rsidRPr="00504C20">
        <w:rPr>
          <w:color w:val="000000" w:themeColor="text1"/>
        </w:rPr>
        <w:t>at risk</w:t>
      </w:r>
      <w:r w:rsidR="00D97582" w:rsidRPr="00504C20">
        <w:rPr>
          <w:color w:val="000000" w:themeColor="text1"/>
        </w:rPr>
        <w:t>. Trade union experience suggests that tax liability</w:t>
      </w:r>
      <w:r w:rsidR="003D3D04" w:rsidRPr="00504C20">
        <w:rPr>
          <w:color w:val="000000" w:themeColor="text1"/>
        </w:rPr>
        <w:t xml:space="preserve"> issues are</w:t>
      </w:r>
      <w:r w:rsidR="00F86F60" w:rsidRPr="00504C20">
        <w:rPr>
          <w:color w:val="000000" w:themeColor="text1"/>
        </w:rPr>
        <w:t xml:space="preserve"> </w:t>
      </w:r>
      <w:r w:rsidR="003D3D04" w:rsidRPr="00504C20">
        <w:rPr>
          <w:color w:val="000000" w:themeColor="text1"/>
        </w:rPr>
        <w:t xml:space="preserve">intertwined with </w:t>
      </w:r>
      <w:r w:rsidR="00D97582" w:rsidRPr="00504C20">
        <w:rPr>
          <w:color w:val="000000" w:themeColor="text1"/>
        </w:rPr>
        <w:t xml:space="preserve">employer </w:t>
      </w:r>
      <w:r w:rsidR="003D3D04" w:rsidRPr="00504C20">
        <w:rPr>
          <w:color w:val="000000" w:themeColor="text1"/>
        </w:rPr>
        <w:t>responsibility issues.</w:t>
      </w:r>
      <w:r w:rsidR="00266A10" w:rsidRPr="00504C20">
        <w:rPr>
          <w:color w:val="000000" w:themeColor="text1"/>
        </w:rPr>
        <w:t xml:space="preserve"> There are two reasons for this, which are </w:t>
      </w:r>
      <w:r w:rsidR="00695200" w:rsidRPr="00504C20">
        <w:rPr>
          <w:color w:val="000000" w:themeColor="text1"/>
        </w:rPr>
        <w:t>interrelated</w:t>
      </w:r>
      <w:r>
        <w:rPr>
          <w:color w:val="000000" w:themeColor="text1"/>
        </w:rPr>
        <w:t>:</w:t>
      </w:r>
    </w:p>
    <w:p w:rsidR="00EC4462" w:rsidRPr="00504C20" w:rsidRDefault="00EC4462" w:rsidP="00266A10">
      <w:pPr>
        <w:pStyle w:val="Num-DocParagraph"/>
        <w:spacing w:after="0"/>
        <w:jc w:val="left"/>
        <w:rPr>
          <w:color w:val="000000" w:themeColor="text1"/>
        </w:rPr>
      </w:pPr>
    </w:p>
    <w:p w:rsidR="00266A10" w:rsidRDefault="00266A10" w:rsidP="005F4110">
      <w:pPr>
        <w:pStyle w:val="Num-DocParagraph"/>
        <w:numPr>
          <w:ilvl w:val="0"/>
          <w:numId w:val="30"/>
        </w:numPr>
        <w:spacing w:after="0"/>
        <w:jc w:val="left"/>
        <w:rPr>
          <w:color w:val="000000" w:themeColor="text1"/>
        </w:rPr>
      </w:pPr>
      <w:r w:rsidRPr="00504C20">
        <w:rPr>
          <w:color w:val="000000" w:themeColor="text1"/>
        </w:rPr>
        <w:t>Firstly, a central technique used by MNEs for evading their tax obligation</w:t>
      </w:r>
      <w:r w:rsidR="00A20BE8" w:rsidRPr="00504C20">
        <w:rPr>
          <w:color w:val="000000" w:themeColor="text1"/>
        </w:rPr>
        <w:t>s</w:t>
      </w:r>
      <w:r w:rsidRPr="00504C20">
        <w:rPr>
          <w:color w:val="000000" w:themeColor="text1"/>
        </w:rPr>
        <w:t xml:space="preserve"> is to elaborate formal corporate structures in which the allocation of functions to the various entities of the MNE </w:t>
      </w:r>
      <w:r w:rsidR="001A59F8" w:rsidRPr="00504C20">
        <w:rPr>
          <w:color w:val="000000" w:themeColor="text1"/>
        </w:rPr>
        <w:t xml:space="preserve">is fragmented in a way that </w:t>
      </w:r>
      <w:r w:rsidRPr="00504C20">
        <w:rPr>
          <w:color w:val="000000" w:themeColor="text1"/>
        </w:rPr>
        <w:t>does not reflect the distribution of economic risk</w:t>
      </w:r>
      <w:r w:rsidR="00770237" w:rsidRPr="00504C20">
        <w:rPr>
          <w:color w:val="000000" w:themeColor="text1"/>
        </w:rPr>
        <w:t>s</w:t>
      </w:r>
      <w:r w:rsidRPr="00504C20">
        <w:rPr>
          <w:color w:val="000000" w:themeColor="text1"/>
        </w:rPr>
        <w:t xml:space="preserve"> and added-value within the MNE group. These corporate restructurings </w:t>
      </w:r>
      <w:r w:rsidR="002F7968" w:rsidRPr="00504C20">
        <w:rPr>
          <w:color w:val="000000" w:themeColor="text1"/>
        </w:rPr>
        <w:t xml:space="preserve">aim </w:t>
      </w:r>
      <w:r w:rsidRPr="00504C20">
        <w:rPr>
          <w:color w:val="000000" w:themeColor="text1"/>
        </w:rPr>
        <w:t>at tax planning and tax arbitrage</w:t>
      </w:r>
      <w:r w:rsidR="00A20BE8" w:rsidRPr="00504C20">
        <w:rPr>
          <w:color w:val="000000" w:themeColor="text1"/>
        </w:rPr>
        <w:t xml:space="preserve"> – </w:t>
      </w:r>
      <w:r w:rsidRPr="00504C20">
        <w:rPr>
          <w:color w:val="000000" w:themeColor="text1"/>
        </w:rPr>
        <w:t xml:space="preserve">but </w:t>
      </w:r>
      <w:r w:rsidR="00876786" w:rsidRPr="00504C20">
        <w:rPr>
          <w:color w:val="000000" w:themeColor="text1"/>
        </w:rPr>
        <w:t>are not limited to this</w:t>
      </w:r>
      <w:r w:rsidRPr="00504C20">
        <w:rPr>
          <w:color w:val="000000" w:themeColor="text1"/>
        </w:rPr>
        <w:t>.</w:t>
      </w:r>
      <w:r w:rsidR="00876786" w:rsidRPr="00504C20">
        <w:rPr>
          <w:color w:val="000000" w:themeColor="text1"/>
        </w:rPr>
        <w:t xml:space="preserve"> </w:t>
      </w:r>
      <w:r w:rsidRPr="00504C20">
        <w:rPr>
          <w:color w:val="000000" w:themeColor="text1"/>
        </w:rPr>
        <w:t xml:space="preserve">They can also be used to evade other regulatory </w:t>
      </w:r>
      <w:r w:rsidR="00A20BE8" w:rsidRPr="00504C20">
        <w:rPr>
          <w:color w:val="000000" w:themeColor="text1"/>
        </w:rPr>
        <w:t>requirements</w:t>
      </w:r>
      <w:r w:rsidRPr="00504C20">
        <w:rPr>
          <w:color w:val="000000" w:themeColor="text1"/>
        </w:rPr>
        <w:t xml:space="preserve">, including </w:t>
      </w:r>
      <w:r w:rsidR="00A20BE8" w:rsidRPr="00504C20">
        <w:rPr>
          <w:color w:val="000000" w:themeColor="text1"/>
        </w:rPr>
        <w:t xml:space="preserve">in the areas of </w:t>
      </w:r>
      <w:r w:rsidRPr="00504C20">
        <w:rPr>
          <w:color w:val="000000" w:themeColor="text1"/>
        </w:rPr>
        <w:t xml:space="preserve">employment protection legislation, </w:t>
      </w:r>
      <w:r w:rsidR="00A20BE8" w:rsidRPr="00504C20">
        <w:rPr>
          <w:color w:val="000000" w:themeColor="text1"/>
        </w:rPr>
        <w:t xml:space="preserve">of </w:t>
      </w:r>
      <w:r w:rsidRPr="00504C20">
        <w:rPr>
          <w:color w:val="000000" w:themeColor="text1"/>
        </w:rPr>
        <w:t xml:space="preserve">collective bargaining and </w:t>
      </w:r>
      <w:r w:rsidR="00A20BE8" w:rsidRPr="00504C20">
        <w:rPr>
          <w:color w:val="000000" w:themeColor="text1"/>
        </w:rPr>
        <w:t xml:space="preserve">of </w:t>
      </w:r>
      <w:r w:rsidRPr="00504C20">
        <w:rPr>
          <w:color w:val="000000" w:themeColor="text1"/>
        </w:rPr>
        <w:t xml:space="preserve">worker representation. </w:t>
      </w:r>
      <w:r w:rsidR="00A20BE8" w:rsidRPr="00504C20">
        <w:rPr>
          <w:color w:val="000000" w:themeColor="text1"/>
        </w:rPr>
        <w:t>F</w:t>
      </w:r>
      <w:r w:rsidR="001A59F8" w:rsidRPr="00504C20">
        <w:rPr>
          <w:color w:val="000000" w:themeColor="text1"/>
        </w:rPr>
        <w:t>or trade unions,</w:t>
      </w:r>
      <w:r w:rsidRPr="00504C20">
        <w:rPr>
          <w:color w:val="000000" w:themeColor="text1"/>
        </w:rPr>
        <w:t xml:space="preserve"> </w:t>
      </w:r>
      <w:r w:rsidR="001A59F8" w:rsidRPr="00504C20">
        <w:rPr>
          <w:color w:val="000000" w:themeColor="text1"/>
        </w:rPr>
        <w:t xml:space="preserve">corporate </w:t>
      </w:r>
      <w:r w:rsidRPr="00504C20">
        <w:rPr>
          <w:color w:val="000000" w:themeColor="text1"/>
        </w:rPr>
        <w:t xml:space="preserve">tax </w:t>
      </w:r>
      <w:r w:rsidR="001A59F8" w:rsidRPr="00504C20">
        <w:rPr>
          <w:color w:val="000000" w:themeColor="text1"/>
        </w:rPr>
        <w:t xml:space="preserve">avoidance </w:t>
      </w:r>
      <w:r w:rsidRPr="00504C20">
        <w:rPr>
          <w:color w:val="000000" w:themeColor="text1"/>
        </w:rPr>
        <w:t xml:space="preserve">planning is one form of a broader problem of corporate </w:t>
      </w:r>
      <w:r w:rsidR="001A59F8" w:rsidRPr="00504C20">
        <w:rPr>
          <w:color w:val="000000" w:themeColor="text1"/>
        </w:rPr>
        <w:t>“</w:t>
      </w:r>
      <w:r w:rsidRPr="00504C20">
        <w:rPr>
          <w:color w:val="000000" w:themeColor="text1"/>
        </w:rPr>
        <w:t xml:space="preserve">regulatory </w:t>
      </w:r>
      <w:r w:rsidR="001A59F8" w:rsidRPr="00504C20">
        <w:rPr>
          <w:color w:val="000000" w:themeColor="text1"/>
        </w:rPr>
        <w:t>planning” with short-</w:t>
      </w:r>
      <w:proofErr w:type="spellStart"/>
      <w:r w:rsidR="001A59F8" w:rsidRPr="00504C20">
        <w:rPr>
          <w:color w:val="000000" w:themeColor="text1"/>
        </w:rPr>
        <w:t>termist</w:t>
      </w:r>
      <w:proofErr w:type="spellEnd"/>
      <w:r w:rsidR="001A59F8" w:rsidRPr="00504C20">
        <w:rPr>
          <w:color w:val="000000" w:themeColor="text1"/>
        </w:rPr>
        <w:t xml:space="preserve"> goals</w:t>
      </w:r>
      <w:r w:rsidRPr="00504C20">
        <w:rPr>
          <w:color w:val="000000" w:themeColor="text1"/>
        </w:rPr>
        <w:t>.</w:t>
      </w:r>
    </w:p>
    <w:p w:rsidR="001A2E19" w:rsidRPr="00504C20" w:rsidRDefault="001A2E19" w:rsidP="001A2E19">
      <w:pPr>
        <w:pStyle w:val="Num-DocParagraph"/>
        <w:spacing w:after="0"/>
        <w:jc w:val="left"/>
        <w:rPr>
          <w:color w:val="000000" w:themeColor="text1"/>
        </w:rPr>
      </w:pPr>
    </w:p>
    <w:p w:rsidR="001A59F8" w:rsidRPr="00504C20" w:rsidRDefault="00266A10" w:rsidP="005F4110">
      <w:pPr>
        <w:pStyle w:val="Num-DocParagraph"/>
        <w:numPr>
          <w:ilvl w:val="0"/>
          <w:numId w:val="30"/>
        </w:numPr>
        <w:spacing w:after="0"/>
        <w:jc w:val="left"/>
        <w:rPr>
          <w:color w:val="000000" w:themeColor="text1"/>
        </w:rPr>
      </w:pPr>
      <w:r w:rsidRPr="00504C20">
        <w:rPr>
          <w:color w:val="000000" w:themeColor="text1"/>
        </w:rPr>
        <w:t>Secondly</w:t>
      </w:r>
      <w:r w:rsidR="001A59F8" w:rsidRPr="00504C20">
        <w:rPr>
          <w:color w:val="000000" w:themeColor="text1"/>
        </w:rPr>
        <w:t>,</w:t>
      </w:r>
      <w:r w:rsidRPr="00504C20">
        <w:rPr>
          <w:color w:val="000000" w:themeColor="text1"/>
        </w:rPr>
        <w:t xml:space="preserve"> </w:t>
      </w:r>
      <w:r w:rsidR="001A59F8" w:rsidRPr="00504C20">
        <w:rPr>
          <w:color w:val="000000" w:themeColor="text1"/>
        </w:rPr>
        <w:t xml:space="preserve">corporate </w:t>
      </w:r>
      <w:r w:rsidRPr="00504C20">
        <w:rPr>
          <w:color w:val="000000" w:themeColor="text1"/>
        </w:rPr>
        <w:t xml:space="preserve">tax avoidance generally entails changing the entity to which profits are formally attributed, from a high to a low-tax jurisdiction. </w:t>
      </w:r>
      <w:r w:rsidR="001A59F8" w:rsidRPr="00504C20">
        <w:rPr>
          <w:color w:val="000000" w:themeColor="text1"/>
        </w:rPr>
        <w:t xml:space="preserve">In practice, </w:t>
      </w:r>
      <w:r w:rsidR="00A20BE8" w:rsidRPr="00504C20">
        <w:rPr>
          <w:color w:val="000000" w:themeColor="text1"/>
        </w:rPr>
        <w:t xml:space="preserve">such </w:t>
      </w:r>
      <w:r w:rsidR="001A59F8" w:rsidRPr="00504C20">
        <w:rPr>
          <w:color w:val="000000" w:themeColor="text1"/>
        </w:rPr>
        <w:t xml:space="preserve">profit shifting is likely to entail </w:t>
      </w:r>
      <w:r w:rsidR="00A20BE8" w:rsidRPr="00504C20">
        <w:rPr>
          <w:color w:val="000000" w:themeColor="text1"/>
        </w:rPr>
        <w:t xml:space="preserve">a </w:t>
      </w:r>
      <w:r w:rsidRPr="00504C20">
        <w:rPr>
          <w:color w:val="000000" w:themeColor="text1"/>
        </w:rPr>
        <w:t>profit</w:t>
      </w:r>
      <w:r w:rsidR="001A59F8" w:rsidRPr="00504C20">
        <w:rPr>
          <w:color w:val="000000" w:themeColor="text1"/>
        </w:rPr>
        <w:t xml:space="preserve"> </w:t>
      </w:r>
      <w:r w:rsidRPr="00504C20">
        <w:rPr>
          <w:color w:val="000000" w:themeColor="text1"/>
        </w:rPr>
        <w:t>s</w:t>
      </w:r>
      <w:r w:rsidR="001A59F8" w:rsidRPr="00504C20">
        <w:rPr>
          <w:color w:val="000000" w:themeColor="text1"/>
        </w:rPr>
        <w:t>hift</w:t>
      </w:r>
      <w:r w:rsidRPr="00504C20">
        <w:rPr>
          <w:color w:val="000000" w:themeColor="text1"/>
        </w:rPr>
        <w:t xml:space="preserve"> from </w:t>
      </w:r>
      <w:r w:rsidR="001A59F8" w:rsidRPr="00504C20">
        <w:rPr>
          <w:color w:val="000000" w:themeColor="text1"/>
        </w:rPr>
        <w:t xml:space="preserve">employment-rich </w:t>
      </w:r>
      <w:r w:rsidR="00A20BE8" w:rsidRPr="00504C20">
        <w:rPr>
          <w:color w:val="000000" w:themeColor="text1"/>
        </w:rPr>
        <w:t xml:space="preserve">or employment-generating </w:t>
      </w:r>
      <w:r w:rsidR="001A59F8" w:rsidRPr="00504C20">
        <w:rPr>
          <w:color w:val="000000" w:themeColor="text1"/>
        </w:rPr>
        <w:t xml:space="preserve">entities to entities with </w:t>
      </w:r>
      <w:r w:rsidR="00124276" w:rsidRPr="00504C20">
        <w:rPr>
          <w:color w:val="000000" w:themeColor="text1"/>
        </w:rPr>
        <w:t xml:space="preserve">either zero </w:t>
      </w:r>
      <w:r w:rsidR="001A59F8" w:rsidRPr="00504C20">
        <w:rPr>
          <w:color w:val="000000" w:themeColor="text1"/>
        </w:rPr>
        <w:t>or irrelevant levels of employment</w:t>
      </w:r>
      <w:r w:rsidRPr="00504C20">
        <w:rPr>
          <w:color w:val="000000" w:themeColor="text1"/>
        </w:rPr>
        <w:t>.</w:t>
      </w:r>
    </w:p>
    <w:p w:rsidR="001A59F8" w:rsidRPr="00504C20" w:rsidRDefault="001A59F8">
      <w:pPr>
        <w:pStyle w:val="Num-DocParagraph"/>
        <w:spacing w:after="0"/>
        <w:jc w:val="left"/>
        <w:rPr>
          <w:color w:val="000000" w:themeColor="text1"/>
        </w:rPr>
      </w:pPr>
    </w:p>
    <w:p w:rsidR="00C50BC1" w:rsidRPr="00504C20" w:rsidRDefault="00C50BC1" w:rsidP="005F4110">
      <w:pPr>
        <w:pStyle w:val="Heading1"/>
        <w:rPr>
          <w:rFonts w:ascii="Times New Roman" w:hAnsi="Times New Roman" w:cs="Times New Roman"/>
          <w:color w:val="000000" w:themeColor="text1"/>
        </w:rPr>
      </w:pPr>
      <w:r w:rsidRPr="00504C20">
        <w:rPr>
          <w:rFonts w:ascii="Times New Roman" w:hAnsi="Times New Roman" w:cs="Times New Roman"/>
          <w:color w:val="000000" w:themeColor="text1"/>
        </w:rPr>
        <w:t>Fragmentation and artificial avoidance of the PE status</w:t>
      </w:r>
    </w:p>
    <w:p w:rsidR="00266A10" w:rsidRPr="00504C20" w:rsidRDefault="001A2E19" w:rsidP="00266A10">
      <w:pPr>
        <w:pStyle w:val="Num-DocParagraph"/>
        <w:spacing w:after="0"/>
        <w:jc w:val="left"/>
        <w:rPr>
          <w:color w:val="000000" w:themeColor="text1"/>
        </w:rPr>
      </w:pPr>
      <w:r>
        <w:rPr>
          <w:color w:val="000000" w:themeColor="text1"/>
        </w:rPr>
        <w:t>3.</w:t>
      </w:r>
      <w:r>
        <w:rPr>
          <w:color w:val="000000" w:themeColor="text1"/>
        </w:rPr>
        <w:tab/>
      </w:r>
      <w:r w:rsidR="00A20BE8" w:rsidRPr="00504C20">
        <w:rPr>
          <w:color w:val="000000" w:themeColor="text1"/>
        </w:rPr>
        <w:t xml:space="preserve">The artificial avoidance of the PE status is part of a bigger problem of fragmentation of corporate functions. </w:t>
      </w:r>
      <w:r w:rsidR="00C50BC1" w:rsidRPr="00504C20">
        <w:rPr>
          <w:color w:val="000000" w:themeColor="text1"/>
        </w:rPr>
        <w:t>Dealing with t</w:t>
      </w:r>
      <w:r w:rsidR="00266A10" w:rsidRPr="00504C20">
        <w:rPr>
          <w:color w:val="000000" w:themeColor="text1"/>
        </w:rPr>
        <w:t xml:space="preserve">he problem of fragmentation </w:t>
      </w:r>
      <w:r w:rsidR="00C50BC1" w:rsidRPr="00504C20">
        <w:rPr>
          <w:color w:val="000000" w:themeColor="text1"/>
        </w:rPr>
        <w:t xml:space="preserve">would require governments </w:t>
      </w:r>
      <w:r w:rsidR="00C50BC1" w:rsidRPr="00504C20">
        <w:rPr>
          <w:color w:val="000000" w:themeColor="text1"/>
        </w:rPr>
        <w:lastRenderedPageBreak/>
        <w:t xml:space="preserve">and tax administrations to adopt a less </w:t>
      </w:r>
      <w:r w:rsidR="00266A10" w:rsidRPr="00504C20">
        <w:rPr>
          <w:color w:val="000000" w:themeColor="text1"/>
        </w:rPr>
        <w:t xml:space="preserve">formalist approach </w:t>
      </w:r>
      <w:r w:rsidR="00C50BC1" w:rsidRPr="00504C20">
        <w:rPr>
          <w:color w:val="000000" w:themeColor="text1"/>
        </w:rPr>
        <w:t>to the design and interpretation of tax treaties. So far</w:t>
      </w:r>
      <w:r w:rsidR="00DD7DC8" w:rsidRPr="00504C20">
        <w:rPr>
          <w:color w:val="000000" w:themeColor="text1"/>
        </w:rPr>
        <w:t>,</w:t>
      </w:r>
      <w:r w:rsidR="00C50BC1" w:rsidRPr="00504C20">
        <w:rPr>
          <w:color w:val="000000" w:themeColor="text1"/>
        </w:rPr>
        <w:t xml:space="preserve"> the prevailing view </w:t>
      </w:r>
      <w:r w:rsidR="00A20BE8" w:rsidRPr="00504C20">
        <w:rPr>
          <w:color w:val="000000" w:themeColor="text1"/>
        </w:rPr>
        <w:t xml:space="preserve">in such treaties </w:t>
      </w:r>
      <w:r w:rsidR="00DD7DC8" w:rsidRPr="00504C20">
        <w:rPr>
          <w:color w:val="000000" w:themeColor="text1"/>
        </w:rPr>
        <w:t>is</w:t>
      </w:r>
      <w:r w:rsidR="00C50BC1" w:rsidRPr="00504C20">
        <w:rPr>
          <w:color w:val="000000" w:themeColor="text1"/>
        </w:rPr>
        <w:t xml:space="preserve"> that </w:t>
      </w:r>
      <w:r w:rsidR="00266A10" w:rsidRPr="00504C20">
        <w:rPr>
          <w:color w:val="000000" w:themeColor="text1"/>
        </w:rPr>
        <w:t>different</w:t>
      </w:r>
      <w:r w:rsidR="00C50BC1" w:rsidRPr="00504C20">
        <w:rPr>
          <w:color w:val="000000" w:themeColor="text1"/>
        </w:rPr>
        <w:t xml:space="preserve"> </w:t>
      </w:r>
      <w:r w:rsidR="00266A10" w:rsidRPr="00504C20">
        <w:rPr>
          <w:color w:val="000000" w:themeColor="text1"/>
        </w:rPr>
        <w:t xml:space="preserve">entities </w:t>
      </w:r>
      <w:r w:rsidR="00C50BC1" w:rsidRPr="00504C20">
        <w:rPr>
          <w:color w:val="000000" w:themeColor="text1"/>
        </w:rPr>
        <w:t>are</w:t>
      </w:r>
      <w:r w:rsidR="00504C20" w:rsidRPr="00504C20">
        <w:rPr>
          <w:color w:val="000000" w:themeColor="text1"/>
        </w:rPr>
        <w:t xml:space="preserve"> </w:t>
      </w:r>
      <w:r w:rsidR="00266A10" w:rsidRPr="00504C20">
        <w:rPr>
          <w:color w:val="000000" w:themeColor="text1"/>
        </w:rPr>
        <w:t xml:space="preserve">assumed to be </w:t>
      </w:r>
      <w:r w:rsidR="00A20BE8" w:rsidRPr="00504C20">
        <w:rPr>
          <w:color w:val="000000" w:themeColor="text1"/>
        </w:rPr>
        <w:t>“</w:t>
      </w:r>
      <w:r w:rsidR="00266A10" w:rsidRPr="00504C20">
        <w:rPr>
          <w:color w:val="000000" w:themeColor="text1"/>
        </w:rPr>
        <w:t>independent</w:t>
      </w:r>
      <w:r w:rsidR="00A20BE8" w:rsidRPr="00504C20">
        <w:rPr>
          <w:color w:val="000000" w:themeColor="text1"/>
        </w:rPr>
        <w:t>”</w:t>
      </w:r>
      <w:r w:rsidR="00266A10" w:rsidRPr="00504C20">
        <w:rPr>
          <w:color w:val="000000" w:themeColor="text1"/>
        </w:rPr>
        <w:t xml:space="preserve"> </w:t>
      </w:r>
      <w:r w:rsidR="00C50BC1" w:rsidRPr="00504C20">
        <w:rPr>
          <w:color w:val="000000" w:themeColor="text1"/>
        </w:rPr>
        <w:t xml:space="preserve">from each other as long as </w:t>
      </w:r>
      <w:r w:rsidR="00DD7DC8" w:rsidRPr="00504C20">
        <w:rPr>
          <w:color w:val="000000" w:themeColor="text1"/>
        </w:rPr>
        <w:t>there is a</w:t>
      </w:r>
      <w:r w:rsidR="00C50BC1" w:rsidRPr="00504C20">
        <w:rPr>
          <w:color w:val="000000" w:themeColor="text1"/>
        </w:rPr>
        <w:t xml:space="preserve"> formal contract </w:t>
      </w:r>
      <w:r w:rsidR="00124276" w:rsidRPr="00504C20">
        <w:rPr>
          <w:color w:val="000000" w:themeColor="text1"/>
        </w:rPr>
        <w:t>establishing</w:t>
      </w:r>
      <w:r w:rsidR="00504C20" w:rsidRPr="00504C20">
        <w:rPr>
          <w:color w:val="000000" w:themeColor="text1"/>
        </w:rPr>
        <w:t xml:space="preserve"> </w:t>
      </w:r>
      <w:r w:rsidR="00B62049" w:rsidRPr="00504C20">
        <w:rPr>
          <w:color w:val="000000" w:themeColor="text1"/>
        </w:rPr>
        <w:t>this</w:t>
      </w:r>
      <w:r w:rsidR="00DD7DC8" w:rsidRPr="00504C20">
        <w:rPr>
          <w:color w:val="000000" w:themeColor="text1"/>
        </w:rPr>
        <w:t xml:space="preserve">. </w:t>
      </w:r>
      <w:r w:rsidR="00124276" w:rsidRPr="00504C20">
        <w:rPr>
          <w:color w:val="000000" w:themeColor="text1"/>
        </w:rPr>
        <w:t>This</w:t>
      </w:r>
      <w:r w:rsidR="00DD7DC8" w:rsidRPr="00504C20">
        <w:rPr>
          <w:color w:val="000000" w:themeColor="text1"/>
        </w:rPr>
        <w:t xml:space="preserve"> view will prevail</w:t>
      </w:r>
      <w:r w:rsidR="00C50BC1" w:rsidRPr="00504C20">
        <w:rPr>
          <w:color w:val="000000" w:themeColor="text1"/>
        </w:rPr>
        <w:t xml:space="preserve"> </w:t>
      </w:r>
      <w:r w:rsidR="00266A10" w:rsidRPr="00504C20">
        <w:rPr>
          <w:color w:val="000000" w:themeColor="text1"/>
        </w:rPr>
        <w:t>even if the</w:t>
      </w:r>
      <w:r w:rsidR="00C50BC1" w:rsidRPr="00504C20">
        <w:rPr>
          <w:color w:val="000000" w:themeColor="text1"/>
        </w:rPr>
        <w:t xml:space="preserve"> very same entities</w:t>
      </w:r>
      <w:r w:rsidR="00266A10" w:rsidRPr="00504C20">
        <w:rPr>
          <w:color w:val="000000" w:themeColor="text1"/>
        </w:rPr>
        <w:t xml:space="preserve"> are </w:t>
      </w:r>
      <w:r w:rsidR="00C50BC1" w:rsidRPr="00504C20">
        <w:rPr>
          <w:i/>
          <w:color w:val="000000" w:themeColor="text1"/>
        </w:rPr>
        <w:t>de facto</w:t>
      </w:r>
      <w:r w:rsidR="00C50BC1" w:rsidRPr="00504C20">
        <w:rPr>
          <w:color w:val="000000" w:themeColor="text1"/>
        </w:rPr>
        <w:t xml:space="preserve"> </w:t>
      </w:r>
      <w:r w:rsidR="00A20BE8" w:rsidRPr="00504C20">
        <w:rPr>
          <w:color w:val="000000" w:themeColor="text1"/>
        </w:rPr>
        <w:t xml:space="preserve">dependent from each other and are </w:t>
      </w:r>
      <w:r w:rsidR="00266A10" w:rsidRPr="00504C20">
        <w:rPr>
          <w:color w:val="000000" w:themeColor="text1"/>
        </w:rPr>
        <w:t>under common control</w:t>
      </w:r>
      <w:r w:rsidR="00DD7DC8" w:rsidRPr="00504C20">
        <w:rPr>
          <w:color w:val="000000" w:themeColor="text1"/>
        </w:rPr>
        <w:t xml:space="preserve"> </w:t>
      </w:r>
      <w:r w:rsidR="00A20BE8" w:rsidRPr="00504C20">
        <w:rPr>
          <w:color w:val="000000" w:themeColor="text1"/>
        </w:rPr>
        <w:t xml:space="preserve">by </w:t>
      </w:r>
      <w:r w:rsidR="00B62049" w:rsidRPr="00504C20">
        <w:rPr>
          <w:color w:val="000000" w:themeColor="text1"/>
        </w:rPr>
        <w:t xml:space="preserve">the same </w:t>
      </w:r>
      <w:r w:rsidR="00A20BE8" w:rsidRPr="00504C20">
        <w:rPr>
          <w:color w:val="000000" w:themeColor="text1"/>
        </w:rPr>
        <w:t xml:space="preserve">management </w:t>
      </w:r>
      <w:r w:rsidR="00DD7DC8" w:rsidRPr="00504C20">
        <w:rPr>
          <w:color w:val="000000" w:themeColor="text1"/>
        </w:rPr>
        <w:t xml:space="preserve">and even if there </w:t>
      </w:r>
      <w:r w:rsidR="00A20BE8" w:rsidRPr="00504C20">
        <w:rPr>
          <w:color w:val="000000" w:themeColor="text1"/>
        </w:rPr>
        <w:t xml:space="preserve">is clear </w:t>
      </w:r>
      <w:r w:rsidR="00DD7DC8" w:rsidRPr="00504C20">
        <w:rPr>
          <w:color w:val="000000" w:themeColor="text1"/>
        </w:rPr>
        <w:t>evidence that their employees</w:t>
      </w:r>
      <w:r w:rsidR="00A20BE8" w:rsidRPr="00504C20">
        <w:rPr>
          <w:color w:val="000000" w:themeColor="text1"/>
        </w:rPr>
        <w:t xml:space="preserve"> </w:t>
      </w:r>
      <w:r w:rsidR="00DD7DC8" w:rsidRPr="00504C20">
        <w:rPr>
          <w:color w:val="000000" w:themeColor="text1"/>
        </w:rPr>
        <w:t>are operating under a single economic employer</w:t>
      </w:r>
      <w:r w:rsidR="00266A10" w:rsidRPr="00504C20">
        <w:rPr>
          <w:color w:val="000000" w:themeColor="text1"/>
        </w:rPr>
        <w:t>.</w:t>
      </w:r>
    </w:p>
    <w:p w:rsidR="00266A10" w:rsidRPr="00504C20" w:rsidRDefault="00266A10" w:rsidP="00180224">
      <w:pPr>
        <w:pStyle w:val="Num-DocParagraph"/>
        <w:spacing w:after="0"/>
        <w:jc w:val="left"/>
        <w:rPr>
          <w:color w:val="000000" w:themeColor="text1"/>
        </w:rPr>
      </w:pPr>
    </w:p>
    <w:p w:rsidR="00E33E4F" w:rsidRDefault="001A2E19">
      <w:pPr>
        <w:pStyle w:val="Num-DocParagraph"/>
        <w:spacing w:after="0"/>
        <w:jc w:val="left"/>
        <w:rPr>
          <w:color w:val="000000" w:themeColor="text1"/>
        </w:rPr>
      </w:pPr>
      <w:r>
        <w:rPr>
          <w:color w:val="000000" w:themeColor="text1"/>
        </w:rPr>
        <w:t>4.</w:t>
      </w:r>
      <w:r>
        <w:rPr>
          <w:color w:val="000000" w:themeColor="text1"/>
        </w:rPr>
        <w:tab/>
      </w:r>
      <w:r w:rsidR="00DD7DC8" w:rsidRPr="00504C20">
        <w:rPr>
          <w:color w:val="000000" w:themeColor="text1"/>
        </w:rPr>
        <w:t>W</w:t>
      </w:r>
      <w:r w:rsidR="00180224" w:rsidRPr="00504C20">
        <w:rPr>
          <w:color w:val="000000" w:themeColor="text1"/>
        </w:rPr>
        <w:t>hen an MNE</w:t>
      </w:r>
      <w:r w:rsidR="005748F5" w:rsidRPr="00504C20">
        <w:rPr>
          <w:color w:val="000000" w:themeColor="text1"/>
        </w:rPr>
        <w:t>’</w:t>
      </w:r>
      <w:r w:rsidR="00180224" w:rsidRPr="00504C20">
        <w:rPr>
          <w:color w:val="000000" w:themeColor="text1"/>
        </w:rPr>
        <w:t xml:space="preserve">s </w:t>
      </w:r>
      <w:r w:rsidR="003D3D04" w:rsidRPr="00504C20">
        <w:rPr>
          <w:color w:val="000000" w:themeColor="text1"/>
        </w:rPr>
        <w:t xml:space="preserve">local businesses are </w:t>
      </w:r>
      <w:r w:rsidR="005D0041" w:rsidRPr="00504C20">
        <w:rPr>
          <w:color w:val="000000" w:themeColor="text1"/>
        </w:rPr>
        <w:t>fragment</w:t>
      </w:r>
      <w:r w:rsidR="003D3D04" w:rsidRPr="00504C20">
        <w:rPr>
          <w:color w:val="000000" w:themeColor="text1"/>
        </w:rPr>
        <w:t>ed</w:t>
      </w:r>
      <w:r w:rsidR="005D0041" w:rsidRPr="00504C20">
        <w:rPr>
          <w:color w:val="000000" w:themeColor="text1"/>
        </w:rPr>
        <w:t xml:space="preserve"> into several separate entities</w:t>
      </w:r>
      <w:r w:rsidR="00DD7DC8" w:rsidRPr="00504C20">
        <w:rPr>
          <w:color w:val="000000" w:themeColor="text1"/>
        </w:rPr>
        <w:t xml:space="preserve"> and, accordingly, PE rules are not respected – either because the use of a PE status only covers part of the MNE’s local operations or because there is no PE status in the first place – the rights and well-being of local workers that are economically dependent on the MNE are likely to be at risk or less protected</w:t>
      </w:r>
      <w:r w:rsidR="005D0041" w:rsidRPr="00504C20">
        <w:rPr>
          <w:color w:val="000000" w:themeColor="text1"/>
        </w:rPr>
        <w:t>.</w:t>
      </w:r>
      <w:r w:rsidR="00DD7DC8" w:rsidRPr="00504C20">
        <w:rPr>
          <w:color w:val="000000" w:themeColor="text1"/>
        </w:rPr>
        <w:t xml:space="preserve"> </w:t>
      </w:r>
      <w:r w:rsidR="00640AF2" w:rsidRPr="00504C20">
        <w:rPr>
          <w:color w:val="000000" w:themeColor="text1"/>
        </w:rPr>
        <w:t>T</w:t>
      </w:r>
      <w:r w:rsidR="00E33E4F" w:rsidRPr="00504C20">
        <w:rPr>
          <w:color w:val="000000" w:themeColor="text1"/>
        </w:rPr>
        <w:t>hree aspects</w:t>
      </w:r>
      <w:r w:rsidR="00640AF2" w:rsidRPr="00504C20">
        <w:rPr>
          <w:color w:val="000000" w:themeColor="text1"/>
        </w:rPr>
        <w:t xml:space="preserve"> are to be taken on board</w:t>
      </w:r>
      <w:r w:rsidR="00E33E4F" w:rsidRPr="00504C20">
        <w:rPr>
          <w:color w:val="000000" w:themeColor="text1"/>
        </w:rPr>
        <w:t>:</w:t>
      </w:r>
    </w:p>
    <w:p w:rsidR="001A2E19" w:rsidRPr="00504C20" w:rsidRDefault="001A2E19">
      <w:pPr>
        <w:pStyle w:val="Num-DocParagraph"/>
        <w:spacing w:after="0"/>
        <w:jc w:val="left"/>
        <w:rPr>
          <w:color w:val="000000" w:themeColor="text1"/>
        </w:rPr>
      </w:pPr>
    </w:p>
    <w:p w:rsidR="00E33E4F" w:rsidRPr="00504C20" w:rsidRDefault="00C45FE9" w:rsidP="00E33E4F">
      <w:pPr>
        <w:pStyle w:val="Num-DocParagraph"/>
        <w:numPr>
          <w:ilvl w:val="0"/>
          <w:numId w:val="28"/>
        </w:numPr>
        <w:spacing w:after="0"/>
        <w:jc w:val="left"/>
        <w:rPr>
          <w:color w:val="000000" w:themeColor="text1"/>
        </w:rPr>
      </w:pPr>
      <w:r w:rsidRPr="00504C20">
        <w:rPr>
          <w:color w:val="000000" w:themeColor="text1"/>
        </w:rPr>
        <w:t xml:space="preserve">Employee </w:t>
      </w:r>
      <w:r w:rsidR="00E33E4F" w:rsidRPr="00504C20">
        <w:rPr>
          <w:color w:val="000000" w:themeColor="text1"/>
        </w:rPr>
        <w:t>remuneration</w:t>
      </w:r>
      <w:r w:rsidRPr="00504C20">
        <w:rPr>
          <w:color w:val="000000" w:themeColor="text1"/>
        </w:rPr>
        <w:t>, as a result of</w:t>
      </w:r>
      <w:r w:rsidR="00E33E4F" w:rsidRPr="00504C20">
        <w:rPr>
          <w:color w:val="000000" w:themeColor="text1"/>
        </w:rPr>
        <w:t xml:space="preserve"> an artificial fall in local profits that would not reflect the </w:t>
      </w:r>
      <w:r w:rsidR="005D0041" w:rsidRPr="00504C20">
        <w:rPr>
          <w:color w:val="000000" w:themeColor="text1"/>
        </w:rPr>
        <w:t xml:space="preserve">level of risk to which </w:t>
      </w:r>
      <w:r w:rsidR="00BD0EF8" w:rsidRPr="00504C20">
        <w:rPr>
          <w:color w:val="000000" w:themeColor="text1"/>
        </w:rPr>
        <w:t>workers are exposed (</w:t>
      </w:r>
      <w:r w:rsidRPr="00504C20">
        <w:rPr>
          <w:color w:val="000000" w:themeColor="text1"/>
        </w:rPr>
        <w:t xml:space="preserve">case of </w:t>
      </w:r>
      <w:r w:rsidR="00BD0EF8" w:rsidRPr="00504C20">
        <w:rPr>
          <w:color w:val="000000" w:themeColor="text1"/>
        </w:rPr>
        <w:t xml:space="preserve">absence of a PE, or partial coverage </w:t>
      </w:r>
      <w:r w:rsidRPr="00504C20">
        <w:rPr>
          <w:color w:val="000000" w:themeColor="text1"/>
        </w:rPr>
        <w:t xml:space="preserve">of it, </w:t>
      </w:r>
      <w:r w:rsidR="00BD0EF8" w:rsidRPr="00504C20">
        <w:rPr>
          <w:color w:val="000000" w:themeColor="text1"/>
        </w:rPr>
        <w:t>case of fragmentation);</w:t>
      </w:r>
    </w:p>
    <w:p w:rsidR="00E33E4F" w:rsidRPr="00504C20" w:rsidRDefault="00C45FE9" w:rsidP="00E33E4F">
      <w:pPr>
        <w:pStyle w:val="Num-DocParagraph"/>
        <w:numPr>
          <w:ilvl w:val="0"/>
          <w:numId w:val="28"/>
        </w:numPr>
        <w:spacing w:after="0"/>
        <w:jc w:val="left"/>
        <w:rPr>
          <w:color w:val="000000" w:themeColor="text1"/>
        </w:rPr>
      </w:pPr>
      <w:r w:rsidRPr="00504C20">
        <w:rPr>
          <w:color w:val="000000" w:themeColor="text1"/>
        </w:rPr>
        <w:t xml:space="preserve">Coverage and </w:t>
      </w:r>
      <w:r w:rsidR="005D0041" w:rsidRPr="00504C20">
        <w:rPr>
          <w:color w:val="000000" w:themeColor="text1"/>
        </w:rPr>
        <w:t xml:space="preserve">quality </w:t>
      </w:r>
      <w:r w:rsidRPr="00504C20">
        <w:rPr>
          <w:color w:val="000000" w:themeColor="text1"/>
        </w:rPr>
        <w:t xml:space="preserve">of the </w:t>
      </w:r>
      <w:r w:rsidR="005D0041" w:rsidRPr="00504C20">
        <w:rPr>
          <w:color w:val="000000" w:themeColor="text1"/>
        </w:rPr>
        <w:t xml:space="preserve">collective bargaining </w:t>
      </w:r>
      <w:r w:rsidRPr="00504C20">
        <w:rPr>
          <w:color w:val="000000" w:themeColor="text1"/>
        </w:rPr>
        <w:t xml:space="preserve">agreement </w:t>
      </w:r>
      <w:r w:rsidR="005D0041" w:rsidRPr="00504C20">
        <w:rPr>
          <w:color w:val="000000" w:themeColor="text1"/>
        </w:rPr>
        <w:t>(</w:t>
      </w:r>
      <w:r w:rsidRPr="00504C20">
        <w:rPr>
          <w:color w:val="000000" w:themeColor="text1"/>
        </w:rPr>
        <w:t xml:space="preserve">case of </w:t>
      </w:r>
      <w:r w:rsidR="005D0041" w:rsidRPr="00504C20">
        <w:rPr>
          <w:color w:val="000000" w:themeColor="text1"/>
        </w:rPr>
        <w:t>fragmentation)</w:t>
      </w:r>
      <w:r w:rsidRPr="00504C20">
        <w:rPr>
          <w:color w:val="000000" w:themeColor="text1"/>
        </w:rPr>
        <w:t>;</w:t>
      </w:r>
      <w:r w:rsidR="005D0041" w:rsidRPr="00504C20">
        <w:rPr>
          <w:color w:val="000000" w:themeColor="text1"/>
        </w:rPr>
        <w:t xml:space="preserve"> and</w:t>
      </w:r>
    </w:p>
    <w:p w:rsidR="00180224" w:rsidRPr="00504C20" w:rsidRDefault="00C45FE9" w:rsidP="00E33E4F">
      <w:pPr>
        <w:pStyle w:val="Num-DocParagraph"/>
        <w:numPr>
          <w:ilvl w:val="0"/>
          <w:numId w:val="28"/>
        </w:numPr>
        <w:spacing w:after="0"/>
        <w:jc w:val="left"/>
        <w:rPr>
          <w:color w:val="000000" w:themeColor="text1"/>
        </w:rPr>
      </w:pPr>
      <w:r w:rsidRPr="00504C20">
        <w:rPr>
          <w:color w:val="000000" w:themeColor="text1"/>
        </w:rPr>
        <w:t xml:space="preserve">Worker </w:t>
      </w:r>
      <w:r w:rsidR="005D0041" w:rsidRPr="00504C20">
        <w:rPr>
          <w:color w:val="000000" w:themeColor="text1"/>
        </w:rPr>
        <w:t>information and consultation</w:t>
      </w:r>
      <w:r w:rsidRPr="00504C20">
        <w:rPr>
          <w:color w:val="000000" w:themeColor="text1"/>
        </w:rPr>
        <w:t xml:space="preserve"> rights</w:t>
      </w:r>
      <w:r w:rsidR="005D0041" w:rsidRPr="00504C20">
        <w:rPr>
          <w:color w:val="000000" w:themeColor="text1"/>
        </w:rPr>
        <w:t xml:space="preserve"> (fragmentation).</w:t>
      </w:r>
    </w:p>
    <w:p w:rsidR="005748F5" w:rsidRPr="00504C20" w:rsidRDefault="005748F5" w:rsidP="00180224">
      <w:pPr>
        <w:pStyle w:val="Num-DocParagraph"/>
        <w:spacing w:after="0"/>
        <w:jc w:val="left"/>
        <w:rPr>
          <w:color w:val="000000" w:themeColor="text1"/>
        </w:rPr>
      </w:pPr>
    </w:p>
    <w:p w:rsidR="005F49D2" w:rsidRPr="00504C20" w:rsidRDefault="001A2E19" w:rsidP="005F49D2">
      <w:pPr>
        <w:pStyle w:val="Num-DocParagraph"/>
        <w:spacing w:after="0"/>
        <w:jc w:val="left"/>
        <w:rPr>
          <w:color w:val="000000" w:themeColor="text1"/>
        </w:rPr>
      </w:pPr>
      <w:r>
        <w:rPr>
          <w:color w:val="000000" w:themeColor="text1"/>
        </w:rPr>
        <w:t>5.</w:t>
      </w:r>
      <w:r>
        <w:rPr>
          <w:color w:val="000000" w:themeColor="text1"/>
        </w:rPr>
        <w:tab/>
      </w:r>
      <w:r w:rsidR="002D6BC0" w:rsidRPr="00504C20">
        <w:rPr>
          <w:color w:val="000000" w:themeColor="text1"/>
        </w:rPr>
        <w:t>The</w:t>
      </w:r>
      <w:r w:rsidR="00876786" w:rsidRPr="00504C20">
        <w:rPr>
          <w:color w:val="000000" w:themeColor="text1"/>
        </w:rPr>
        <w:t xml:space="preserve"> annex</w:t>
      </w:r>
      <w:r w:rsidR="005F49D2" w:rsidRPr="00504C20">
        <w:rPr>
          <w:color w:val="000000" w:themeColor="text1"/>
        </w:rPr>
        <w:t xml:space="preserve"> to this paper provides a concrete example of fragmentation of</w:t>
      </w:r>
      <w:r w:rsidR="002D6BC0" w:rsidRPr="00504C20">
        <w:rPr>
          <w:color w:val="000000" w:themeColor="text1"/>
        </w:rPr>
        <w:t xml:space="preserve"> an MNE subsidiary</w:t>
      </w:r>
      <w:r w:rsidR="005F49D2" w:rsidRPr="00504C20">
        <w:rPr>
          <w:color w:val="000000" w:themeColor="text1"/>
        </w:rPr>
        <w:t>. Local profits fell sharply after a restructuring process without corresponding changes in the functional responsibilities or exposure to risk of the subsidiary’s activities. According to trade unions of the subsidiary entities and their advisers, the fall in profit was due to a combination of factors:</w:t>
      </w:r>
    </w:p>
    <w:p w:rsidR="005F49D2" w:rsidRPr="00504C20" w:rsidRDefault="005F49D2" w:rsidP="005F49D2">
      <w:pPr>
        <w:pStyle w:val="Num-DocParagraph"/>
        <w:numPr>
          <w:ilvl w:val="0"/>
          <w:numId w:val="27"/>
        </w:numPr>
        <w:spacing w:after="0"/>
        <w:jc w:val="left"/>
        <w:rPr>
          <w:color w:val="000000" w:themeColor="text1"/>
        </w:rPr>
      </w:pPr>
      <w:r w:rsidRPr="00504C20">
        <w:rPr>
          <w:color w:val="000000" w:themeColor="text1"/>
        </w:rPr>
        <w:t>Manipulation of transfer pricing;</w:t>
      </w:r>
    </w:p>
    <w:p w:rsidR="005F49D2" w:rsidRPr="00504C20" w:rsidRDefault="005F49D2" w:rsidP="005F49D2">
      <w:pPr>
        <w:pStyle w:val="Num-DocParagraph"/>
        <w:numPr>
          <w:ilvl w:val="0"/>
          <w:numId w:val="27"/>
        </w:numPr>
        <w:spacing w:after="0"/>
        <w:jc w:val="left"/>
        <w:rPr>
          <w:color w:val="000000" w:themeColor="text1"/>
        </w:rPr>
      </w:pPr>
      <w:r w:rsidRPr="00504C20">
        <w:rPr>
          <w:color w:val="000000" w:themeColor="text1"/>
        </w:rPr>
        <w:t>Shift of status of the local entities from primary contractor to subcontractor and from fully fledged to limited risk distributor (LRD);</w:t>
      </w:r>
    </w:p>
    <w:p w:rsidR="005F49D2" w:rsidRPr="00504C20" w:rsidRDefault="005F49D2" w:rsidP="005F49D2">
      <w:pPr>
        <w:pStyle w:val="Num-DocParagraph"/>
        <w:numPr>
          <w:ilvl w:val="0"/>
          <w:numId w:val="27"/>
        </w:numPr>
        <w:spacing w:after="0"/>
        <w:jc w:val="left"/>
        <w:rPr>
          <w:color w:val="000000" w:themeColor="text1"/>
        </w:rPr>
      </w:pPr>
      <w:r w:rsidRPr="00504C20">
        <w:rPr>
          <w:color w:val="000000" w:themeColor="text1"/>
        </w:rPr>
        <w:t>Fragmentation of the local activities in several separate entities;</w:t>
      </w:r>
    </w:p>
    <w:p w:rsidR="005F49D2" w:rsidRPr="00504C20" w:rsidRDefault="005F49D2" w:rsidP="005F49D2">
      <w:pPr>
        <w:pStyle w:val="Num-DocParagraph"/>
        <w:spacing w:after="0"/>
        <w:jc w:val="left"/>
        <w:rPr>
          <w:color w:val="000000" w:themeColor="text1"/>
        </w:rPr>
      </w:pPr>
    </w:p>
    <w:p w:rsidR="005F49D2" w:rsidRPr="00504C20" w:rsidRDefault="001A2E19" w:rsidP="005F49D2">
      <w:pPr>
        <w:pStyle w:val="Num-DocParagraph"/>
        <w:spacing w:after="0"/>
        <w:jc w:val="left"/>
        <w:rPr>
          <w:color w:val="000000" w:themeColor="text1"/>
        </w:rPr>
      </w:pPr>
      <w:r>
        <w:rPr>
          <w:color w:val="000000" w:themeColor="text1"/>
        </w:rPr>
        <w:t>6.</w:t>
      </w:r>
      <w:r>
        <w:rPr>
          <w:color w:val="000000" w:themeColor="text1"/>
        </w:rPr>
        <w:tab/>
      </w:r>
      <w:r w:rsidR="005F49D2" w:rsidRPr="00504C20">
        <w:rPr>
          <w:color w:val="000000" w:themeColor="text1"/>
        </w:rPr>
        <w:t>While the case primarily relates to manipulation of intra-group transfer pricing, it has some bearing on the PE discussion and the consequences of fragmentation of activities and of an undue shift to LRD status.</w:t>
      </w:r>
    </w:p>
    <w:p w:rsidR="005F49D2" w:rsidRPr="00504C20" w:rsidRDefault="005F49D2" w:rsidP="00180224">
      <w:pPr>
        <w:pStyle w:val="Num-DocParagraph"/>
        <w:spacing w:after="0"/>
        <w:jc w:val="left"/>
        <w:rPr>
          <w:color w:val="000000" w:themeColor="text1"/>
        </w:rPr>
      </w:pPr>
    </w:p>
    <w:p w:rsidR="00180224" w:rsidRPr="00504C20" w:rsidRDefault="00180224" w:rsidP="00180224">
      <w:pPr>
        <w:pStyle w:val="Heading1"/>
        <w:rPr>
          <w:rFonts w:ascii="Times New Roman" w:hAnsi="Times New Roman" w:cs="Times New Roman"/>
          <w:color w:val="000000" w:themeColor="text1"/>
        </w:rPr>
      </w:pPr>
      <w:r w:rsidRPr="00504C20">
        <w:rPr>
          <w:rFonts w:ascii="Times New Roman" w:hAnsi="Times New Roman" w:cs="Times New Roman"/>
          <w:color w:val="000000" w:themeColor="text1"/>
        </w:rPr>
        <w:t>Comments on the proposed amendments to article 5</w:t>
      </w:r>
    </w:p>
    <w:p w:rsidR="00180224" w:rsidRPr="00504C20" w:rsidRDefault="001A2E19" w:rsidP="004E5553">
      <w:pPr>
        <w:pStyle w:val="Num-DocParagraph"/>
        <w:spacing w:after="0"/>
        <w:jc w:val="left"/>
        <w:rPr>
          <w:color w:val="000000" w:themeColor="text1"/>
        </w:rPr>
      </w:pPr>
      <w:r>
        <w:rPr>
          <w:color w:val="000000" w:themeColor="text1"/>
        </w:rPr>
        <w:t>7.</w:t>
      </w:r>
      <w:r>
        <w:rPr>
          <w:color w:val="000000" w:themeColor="text1"/>
        </w:rPr>
        <w:tab/>
      </w:r>
      <w:r w:rsidR="00571DAC" w:rsidRPr="00504C20">
        <w:rPr>
          <w:color w:val="000000" w:themeColor="text1"/>
        </w:rPr>
        <w:t>TUAC welcomes the proposals put forward by the OECD to strengthen</w:t>
      </w:r>
      <w:r w:rsidR="002D6BC0" w:rsidRPr="00504C20">
        <w:rPr>
          <w:color w:val="000000" w:themeColor="text1"/>
        </w:rPr>
        <w:t xml:space="preserve"> existing</w:t>
      </w:r>
      <w:r w:rsidR="00571DAC" w:rsidRPr="00504C20">
        <w:rPr>
          <w:color w:val="000000" w:themeColor="text1"/>
        </w:rPr>
        <w:t xml:space="preserve"> #5 </w:t>
      </w:r>
      <w:r w:rsidR="00A6140D" w:rsidRPr="00504C20">
        <w:rPr>
          <w:color w:val="000000" w:themeColor="text1"/>
        </w:rPr>
        <w:t xml:space="preserve">of article 5 </w:t>
      </w:r>
      <w:r w:rsidR="00571DAC" w:rsidRPr="00504C20">
        <w:rPr>
          <w:color w:val="000000" w:themeColor="text1"/>
        </w:rPr>
        <w:t>on the requirement for PE for persons “acting on behalf” of an MNE company</w:t>
      </w:r>
      <w:r w:rsidR="00693086" w:rsidRPr="00504C20">
        <w:rPr>
          <w:color w:val="000000" w:themeColor="text1"/>
        </w:rPr>
        <w:t>,</w:t>
      </w:r>
      <w:r w:rsidR="001312C6" w:rsidRPr="00504C20">
        <w:rPr>
          <w:color w:val="000000" w:themeColor="text1"/>
        </w:rPr>
        <w:t xml:space="preserve"> by focusing on the substance of the contract (“wha</w:t>
      </w:r>
      <w:r w:rsidR="00726979" w:rsidRPr="00504C20">
        <w:rPr>
          <w:color w:val="000000" w:themeColor="text1"/>
        </w:rPr>
        <w:t>t</w:t>
      </w:r>
      <w:r w:rsidR="001312C6" w:rsidRPr="00504C20">
        <w:rPr>
          <w:color w:val="000000" w:themeColor="text1"/>
        </w:rPr>
        <w:t xml:space="preserve"> is the object of the contract”) rather than its form (“who is bound by the contract”)</w:t>
      </w:r>
      <w:r w:rsidR="00B254C4" w:rsidRPr="00504C20">
        <w:rPr>
          <w:color w:val="000000" w:themeColor="text1"/>
        </w:rPr>
        <w:t xml:space="preserve"> as is current</w:t>
      </w:r>
      <w:r w:rsidR="0060415D" w:rsidRPr="00504C20">
        <w:rPr>
          <w:color w:val="000000" w:themeColor="text1"/>
        </w:rPr>
        <w:t>ly</w:t>
      </w:r>
      <w:r w:rsidR="00B254C4" w:rsidRPr="00504C20">
        <w:rPr>
          <w:color w:val="000000" w:themeColor="text1"/>
        </w:rPr>
        <w:t xml:space="preserve"> the case (those who have </w:t>
      </w:r>
      <w:r w:rsidR="00693086" w:rsidRPr="00504C20">
        <w:rPr>
          <w:color w:val="000000" w:themeColor="text1"/>
        </w:rPr>
        <w:t>“</w:t>
      </w:r>
      <w:r w:rsidR="00B254C4" w:rsidRPr="00504C20">
        <w:rPr>
          <w:color w:val="000000" w:themeColor="text1"/>
        </w:rPr>
        <w:t>authority to conclude contracts</w:t>
      </w:r>
      <w:r w:rsidR="00693086" w:rsidRPr="00504C20">
        <w:rPr>
          <w:color w:val="000000" w:themeColor="text1"/>
        </w:rPr>
        <w:t>”</w:t>
      </w:r>
      <w:r w:rsidR="00B254C4" w:rsidRPr="00504C20">
        <w:rPr>
          <w:color w:val="000000" w:themeColor="text1"/>
        </w:rPr>
        <w:t>)</w:t>
      </w:r>
      <w:r w:rsidR="00571DAC" w:rsidRPr="00504C20">
        <w:rPr>
          <w:color w:val="000000" w:themeColor="text1"/>
        </w:rPr>
        <w:t xml:space="preserve"> and to limit </w:t>
      </w:r>
      <w:r w:rsidR="00762593" w:rsidRPr="00504C20">
        <w:rPr>
          <w:color w:val="000000" w:themeColor="text1"/>
        </w:rPr>
        <w:t>the exemption for sales agent</w:t>
      </w:r>
      <w:r w:rsidR="0060415D" w:rsidRPr="00504C20">
        <w:rPr>
          <w:color w:val="000000" w:themeColor="text1"/>
        </w:rPr>
        <w:t>s</w:t>
      </w:r>
      <w:r w:rsidR="00762593" w:rsidRPr="00504C20">
        <w:rPr>
          <w:color w:val="000000" w:themeColor="text1"/>
        </w:rPr>
        <w:t xml:space="preserve"> paid on commission under #6</w:t>
      </w:r>
      <w:r w:rsidR="00726979" w:rsidRPr="00504C20">
        <w:rPr>
          <w:color w:val="000000" w:themeColor="text1"/>
        </w:rPr>
        <w:t xml:space="preserve"> – by strengthening the</w:t>
      </w:r>
      <w:r w:rsidR="00B254C4" w:rsidRPr="00504C20">
        <w:rPr>
          <w:color w:val="000000" w:themeColor="text1"/>
        </w:rPr>
        <w:t xml:space="preserve"> criteria for independence (vis-</w:t>
      </w:r>
      <w:r w:rsidR="00726979" w:rsidRPr="00504C20">
        <w:rPr>
          <w:color w:val="000000" w:themeColor="text1"/>
        </w:rPr>
        <w:t>à</w:t>
      </w:r>
      <w:r w:rsidR="00B254C4" w:rsidRPr="00504C20">
        <w:rPr>
          <w:color w:val="000000" w:themeColor="text1"/>
        </w:rPr>
        <w:t>-</w:t>
      </w:r>
      <w:r w:rsidR="00726979" w:rsidRPr="00504C20">
        <w:rPr>
          <w:color w:val="000000" w:themeColor="text1"/>
        </w:rPr>
        <w:t>vis the MNE) to benefit from the exemption</w:t>
      </w:r>
      <w:r w:rsidR="00762593" w:rsidRPr="00504C20">
        <w:rPr>
          <w:color w:val="000000" w:themeColor="text1"/>
        </w:rPr>
        <w:t>.</w:t>
      </w:r>
    </w:p>
    <w:p w:rsidR="000B7DB3" w:rsidRPr="00504C20" w:rsidRDefault="000B7DB3" w:rsidP="004E5553">
      <w:pPr>
        <w:pStyle w:val="Num-DocParagraph"/>
        <w:spacing w:after="0"/>
        <w:jc w:val="left"/>
        <w:rPr>
          <w:color w:val="000000" w:themeColor="text1"/>
        </w:rPr>
      </w:pPr>
    </w:p>
    <w:p w:rsidR="00342234" w:rsidRPr="00504C20" w:rsidRDefault="001A2E19" w:rsidP="004E5553">
      <w:pPr>
        <w:pStyle w:val="Num-DocParagraph"/>
        <w:spacing w:after="0"/>
        <w:jc w:val="left"/>
        <w:rPr>
          <w:color w:val="000000" w:themeColor="text1"/>
        </w:rPr>
      </w:pPr>
      <w:r>
        <w:rPr>
          <w:color w:val="000000" w:themeColor="text1"/>
        </w:rPr>
        <w:t>8.</w:t>
      </w:r>
      <w:r>
        <w:rPr>
          <w:color w:val="000000" w:themeColor="text1"/>
        </w:rPr>
        <w:tab/>
      </w:r>
      <w:r w:rsidR="00342234" w:rsidRPr="00504C20">
        <w:rPr>
          <w:color w:val="000000" w:themeColor="text1"/>
        </w:rPr>
        <w:t xml:space="preserve">Looking at the four proposed alternative amendments </w:t>
      </w:r>
      <w:r w:rsidR="00D97582" w:rsidRPr="00504C20">
        <w:rPr>
          <w:color w:val="000000" w:themeColor="text1"/>
        </w:rPr>
        <w:t>(</w:t>
      </w:r>
      <w:r w:rsidR="00342234" w:rsidRPr="00504C20">
        <w:rPr>
          <w:color w:val="000000" w:themeColor="text1"/>
        </w:rPr>
        <w:t xml:space="preserve">A, B, C </w:t>
      </w:r>
      <w:r w:rsidR="00D97582" w:rsidRPr="00504C20">
        <w:rPr>
          <w:color w:val="000000" w:themeColor="text1"/>
        </w:rPr>
        <w:t>&amp;</w:t>
      </w:r>
      <w:r w:rsidR="00342234" w:rsidRPr="00504C20">
        <w:rPr>
          <w:color w:val="000000" w:themeColor="text1"/>
        </w:rPr>
        <w:t xml:space="preserve"> D</w:t>
      </w:r>
      <w:r w:rsidR="00D97582" w:rsidRPr="00504C20">
        <w:rPr>
          <w:color w:val="000000" w:themeColor="text1"/>
        </w:rPr>
        <w:t>),</w:t>
      </w:r>
      <w:r w:rsidR="00342234" w:rsidRPr="00504C20">
        <w:rPr>
          <w:color w:val="000000" w:themeColor="text1"/>
        </w:rPr>
        <w:t xml:space="preserve"> our preference go</w:t>
      </w:r>
      <w:r w:rsidR="00A6140D" w:rsidRPr="00504C20">
        <w:rPr>
          <w:color w:val="000000" w:themeColor="text1"/>
        </w:rPr>
        <w:t>es</w:t>
      </w:r>
      <w:r w:rsidR="00342234" w:rsidRPr="00504C20">
        <w:rPr>
          <w:color w:val="000000" w:themeColor="text1"/>
        </w:rPr>
        <w:t xml:space="preserve"> to </w:t>
      </w:r>
      <w:r w:rsidR="00B254C4" w:rsidRPr="00504C20">
        <w:rPr>
          <w:color w:val="000000" w:themeColor="text1"/>
        </w:rPr>
        <w:t xml:space="preserve">options A and </w:t>
      </w:r>
      <w:r w:rsidR="00342234" w:rsidRPr="00504C20">
        <w:rPr>
          <w:color w:val="000000" w:themeColor="text1"/>
        </w:rPr>
        <w:t>C</w:t>
      </w:r>
      <w:r w:rsidR="00693086" w:rsidRPr="00504C20">
        <w:rPr>
          <w:color w:val="000000" w:themeColor="text1"/>
        </w:rPr>
        <w:t xml:space="preserve"> </w:t>
      </w:r>
      <w:r w:rsidR="003F122F" w:rsidRPr="00504C20">
        <w:rPr>
          <w:color w:val="000000" w:themeColor="text1"/>
        </w:rPr>
        <w:t xml:space="preserve">which require PE status for intermediaries that </w:t>
      </w:r>
      <w:r w:rsidR="00693086" w:rsidRPr="00504C20">
        <w:rPr>
          <w:color w:val="000000" w:themeColor="text1"/>
        </w:rPr>
        <w:t>regular</w:t>
      </w:r>
      <w:r w:rsidR="0060415D" w:rsidRPr="00504C20">
        <w:rPr>
          <w:color w:val="000000" w:themeColor="text1"/>
        </w:rPr>
        <w:t>ly</w:t>
      </w:r>
      <w:r w:rsidR="00693086" w:rsidRPr="00504C20">
        <w:rPr>
          <w:color w:val="000000" w:themeColor="text1"/>
        </w:rPr>
        <w:t xml:space="preserve"> </w:t>
      </w:r>
      <w:r w:rsidR="003F122F" w:rsidRPr="00504C20">
        <w:rPr>
          <w:color w:val="000000" w:themeColor="text1"/>
        </w:rPr>
        <w:t>“</w:t>
      </w:r>
      <w:r w:rsidR="00693086" w:rsidRPr="00504C20">
        <w:rPr>
          <w:color w:val="000000" w:themeColor="text1"/>
        </w:rPr>
        <w:t>engage with specific persons</w:t>
      </w:r>
      <w:r w:rsidR="003F122F" w:rsidRPr="00504C20">
        <w:rPr>
          <w:color w:val="000000" w:themeColor="text1"/>
        </w:rPr>
        <w:t xml:space="preserve"> in a way that</w:t>
      </w:r>
      <w:r w:rsidR="00693086" w:rsidRPr="00504C20">
        <w:rPr>
          <w:color w:val="000000" w:themeColor="text1"/>
        </w:rPr>
        <w:t xml:space="preserve"> result in the conclusion of contract</w:t>
      </w:r>
      <w:r w:rsidR="003F122F" w:rsidRPr="00504C20">
        <w:rPr>
          <w:color w:val="000000" w:themeColor="text1"/>
        </w:rPr>
        <w:t>”</w:t>
      </w:r>
      <w:r w:rsidR="00A6140D" w:rsidRPr="00504C20">
        <w:rPr>
          <w:color w:val="000000" w:themeColor="text1"/>
        </w:rPr>
        <w:t xml:space="preserve">. </w:t>
      </w:r>
      <w:r w:rsidR="003F122F" w:rsidRPr="00504C20">
        <w:rPr>
          <w:color w:val="000000" w:themeColor="text1"/>
        </w:rPr>
        <w:t>As such, b</w:t>
      </w:r>
      <w:r w:rsidR="00A6140D" w:rsidRPr="00504C20">
        <w:rPr>
          <w:color w:val="000000" w:themeColor="text1"/>
        </w:rPr>
        <w:t xml:space="preserve">oth A &amp; C focus on the substance </w:t>
      </w:r>
      <w:r w:rsidR="003F122F" w:rsidRPr="00504C20">
        <w:rPr>
          <w:color w:val="000000" w:themeColor="text1"/>
        </w:rPr>
        <w:t xml:space="preserve">of </w:t>
      </w:r>
      <w:r w:rsidR="003D7B98" w:rsidRPr="00504C20">
        <w:rPr>
          <w:color w:val="000000" w:themeColor="text1"/>
        </w:rPr>
        <w:t xml:space="preserve">a </w:t>
      </w:r>
      <w:r w:rsidR="003F122F" w:rsidRPr="00504C20">
        <w:rPr>
          <w:color w:val="000000" w:themeColor="text1"/>
        </w:rPr>
        <w:t xml:space="preserve">contract </w:t>
      </w:r>
      <w:r w:rsidR="00A6140D" w:rsidRPr="00504C20">
        <w:rPr>
          <w:color w:val="000000" w:themeColor="text1"/>
        </w:rPr>
        <w:t>rather than</w:t>
      </w:r>
      <w:r w:rsidR="003D7B98" w:rsidRPr="00504C20">
        <w:rPr>
          <w:color w:val="000000" w:themeColor="text1"/>
        </w:rPr>
        <w:t xml:space="preserve"> its</w:t>
      </w:r>
      <w:r w:rsidR="00A6140D" w:rsidRPr="00504C20">
        <w:rPr>
          <w:color w:val="000000" w:themeColor="text1"/>
        </w:rPr>
        <w:t xml:space="preserve"> form and are </w:t>
      </w:r>
      <w:r w:rsidR="00B254C4" w:rsidRPr="00504C20">
        <w:rPr>
          <w:color w:val="000000" w:themeColor="text1"/>
        </w:rPr>
        <w:t xml:space="preserve">comprehensive </w:t>
      </w:r>
      <w:r w:rsidR="00A6140D" w:rsidRPr="00504C20">
        <w:rPr>
          <w:color w:val="000000" w:themeColor="text1"/>
        </w:rPr>
        <w:t>enough to cover th</w:t>
      </w:r>
      <w:r w:rsidR="00B254C4" w:rsidRPr="00504C20">
        <w:rPr>
          <w:color w:val="000000" w:themeColor="text1"/>
        </w:rPr>
        <w:t xml:space="preserve">e various contractual processes between a sales staff or entity and </w:t>
      </w:r>
      <w:r w:rsidR="00693086" w:rsidRPr="00504C20">
        <w:rPr>
          <w:color w:val="000000" w:themeColor="text1"/>
        </w:rPr>
        <w:t>the</w:t>
      </w:r>
      <w:r w:rsidR="00A6140D" w:rsidRPr="00504C20">
        <w:rPr>
          <w:color w:val="000000" w:themeColor="text1"/>
        </w:rPr>
        <w:t>ir</w:t>
      </w:r>
      <w:r w:rsidR="00693086" w:rsidRPr="00504C20">
        <w:rPr>
          <w:color w:val="000000" w:themeColor="text1"/>
        </w:rPr>
        <w:t xml:space="preserve"> </w:t>
      </w:r>
      <w:r w:rsidR="00B254C4" w:rsidRPr="00504C20">
        <w:rPr>
          <w:color w:val="000000" w:themeColor="text1"/>
        </w:rPr>
        <w:t>clients that MNEs can set in place to avoid</w:t>
      </w:r>
      <w:r w:rsidR="0060415D" w:rsidRPr="00504C20">
        <w:rPr>
          <w:color w:val="000000" w:themeColor="text1"/>
        </w:rPr>
        <w:t xml:space="preserve"> the</w:t>
      </w:r>
      <w:r w:rsidR="00B254C4" w:rsidRPr="00504C20">
        <w:rPr>
          <w:color w:val="000000" w:themeColor="text1"/>
        </w:rPr>
        <w:t xml:space="preserve"> PE regime.</w:t>
      </w:r>
    </w:p>
    <w:p w:rsidR="00B254C4" w:rsidRPr="00504C20" w:rsidRDefault="00B254C4" w:rsidP="004E5553">
      <w:pPr>
        <w:pStyle w:val="Num-DocParagraph"/>
        <w:spacing w:after="0"/>
        <w:jc w:val="left"/>
        <w:rPr>
          <w:color w:val="000000" w:themeColor="text1"/>
        </w:rPr>
      </w:pPr>
    </w:p>
    <w:p w:rsidR="00B254C4" w:rsidRPr="00504C20" w:rsidRDefault="001A2E19" w:rsidP="004E5553">
      <w:pPr>
        <w:pStyle w:val="Num-DocParagraph"/>
        <w:spacing w:after="0"/>
        <w:jc w:val="left"/>
        <w:rPr>
          <w:color w:val="000000" w:themeColor="text1"/>
        </w:rPr>
      </w:pPr>
      <w:r>
        <w:rPr>
          <w:color w:val="000000" w:themeColor="text1"/>
        </w:rPr>
        <w:t>9.</w:t>
      </w:r>
      <w:r>
        <w:rPr>
          <w:color w:val="000000" w:themeColor="text1"/>
        </w:rPr>
        <w:tab/>
      </w:r>
      <w:r w:rsidR="00862FE5" w:rsidRPr="00504C20">
        <w:rPr>
          <w:color w:val="000000" w:themeColor="text1"/>
        </w:rPr>
        <w:t>We also welcome</w:t>
      </w:r>
      <w:r w:rsidR="00475FBC" w:rsidRPr="00504C20">
        <w:rPr>
          <w:color w:val="000000" w:themeColor="text1"/>
        </w:rPr>
        <w:t xml:space="preserve"> the proposals of amendments to #4 to restrict the specific activity-related exemptions. We support proposal</w:t>
      </w:r>
      <w:r w:rsidR="00250F81" w:rsidRPr="00504C20">
        <w:rPr>
          <w:color w:val="000000" w:themeColor="text1"/>
        </w:rPr>
        <w:t>s</w:t>
      </w:r>
      <w:r w:rsidR="00475FBC" w:rsidRPr="00504C20">
        <w:rPr>
          <w:color w:val="000000" w:themeColor="text1"/>
        </w:rPr>
        <w:t xml:space="preserve"> t</w:t>
      </w:r>
      <w:r w:rsidR="00250F81" w:rsidRPr="00504C20">
        <w:rPr>
          <w:color w:val="000000" w:themeColor="text1"/>
        </w:rPr>
        <w:t>hat</w:t>
      </w:r>
      <w:r w:rsidR="00475FBC" w:rsidRPr="00504C20">
        <w:rPr>
          <w:color w:val="000000" w:themeColor="text1"/>
        </w:rPr>
        <w:t xml:space="preserve"> make explicit that any exempted activity </w:t>
      </w:r>
      <w:r w:rsidR="00475FBC" w:rsidRPr="00504C20">
        <w:rPr>
          <w:color w:val="000000" w:themeColor="text1"/>
        </w:rPr>
        <w:lastRenderedPageBreak/>
        <w:t>should be of preparatory or auxiliary nature (option</w:t>
      </w:r>
      <w:r w:rsidR="00250F81" w:rsidRPr="00504C20">
        <w:rPr>
          <w:color w:val="000000" w:themeColor="text1"/>
        </w:rPr>
        <w:t xml:space="preserve"> E).</w:t>
      </w:r>
      <w:r w:rsidR="00475FBC" w:rsidRPr="00504C20">
        <w:rPr>
          <w:color w:val="000000" w:themeColor="text1"/>
        </w:rPr>
        <w:t xml:space="preserve"> </w:t>
      </w:r>
      <w:r w:rsidR="00A6140D" w:rsidRPr="00504C20">
        <w:rPr>
          <w:color w:val="000000" w:themeColor="text1"/>
        </w:rPr>
        <w:t>We support t</w:t>
      </w:r>
      <w:r w:rsidR="00475FBC" w:rsidRPr="00504C20">
        <w:rPr>
          <w:color w:val="000000" w:themeColor="text1"/>
        </w:rPr>
        <w:t>he proposal to add an anti-fragmentation clause</w:t>
      </w:r>
      <w:r w:rsidR="00250F81" w:rsidRPr="00504C20">
        <w:rPr>
          <w:color w:val="000000" w:themeColor="text1"/>
        </w:rPr>
        <w:t xml:space="preserve"> under a new #4.1 whereby complementary business activities would qualify as a PE regime </w:t>
      </w:r>
      <w:r w:rsidR="003F122F" w:rsidRPr="00504C20">
        <w:rPr>
          <w:color w:val="000000" w:themeColor="text1"/>
        </w:rPr>
        <w:t>– i</w:t>
      </w:r>
      <w:r w:rsidR="00250F81" w:rsidRPr="00504C20">
        <w:rPr>
          <w:color w:val="000000" w:themeColor="text1"/>
        </w:rPr>
        <w:t>f there is evidence that</w:t>
      </w:r>
      <w:r w:rsidR="003F122F" w:rsidRPr="00504C20">
        <w:rPr>
          <w:color w:val="000000" w:themeColor="text1"/>
        </w:rPr>
        <w:t>,</w:t>
      </w:r>
      <w:r w:rsidR="00250F81" w:rsidRPr="00504C20">
        <w:rPr>
          <w:color w:val="000000" w:themeColor="text1"/>
        </w:rPr>
        <w:t xml:space="preserve"> on aggregate</w:t>
      </w:r>
      <w:r w:rsidR="003F122F" w:rsidRPr="00504C20">
        <w:rPr>
          <w:color w:val="000000" w:themeColor="text1"/>
        </w:rPr>
        <w:t>,</w:t>
      </w:r>
      <w:r w:rsidR="00250F81" w:rsidRPr="00504C20">
        <w:rPr>
          <w:color w:val="000000" w:themeColor="text1"/>
        </w:rPr>
        <w:t xml:space="preserve"> those activities would go beyond auxiliary or preparatory functions (option J)</w:t>
      </w:r>
      <w:r w:rsidR="00A6140D" w:rsidRPr="00504C20">
        <w:rPr>
          <w:color w:val="000000" w:themeColor="text1"/>
        </w:rPr>
        <w:t>.</w:t>
      </w:r>
    </w:p>
    <w:p w:rsidR="00B254C4" w:rsidRPr="00504C20" w:rsidRDefault="00B254C4" w:rsidP="004E5553">
      <w:pPr>
        <w:pStyle w:val="Num-DocParagraph"/>
        <w:spacing w:after="0"/>
        <w:jc w:val="left"/>
        <w:rPr>
          <w:color w:val="000000" w:themeColor="text1"/>
        </w:rPr>
      </w:pPr>
    </w:p>
    <w:p w:rsidR="00B97237" w:rsidRPr="00504C20" w:rsidRDefault="001A2E19" w:rsidP="004E5553">
      <w:pPr>
        <w:pStyle w:val="Num-DocParagraph"/>
        <w:spacing w:after="0"/>
        <w:jc w:val="left"/>
        <w:rPr>
          <w:color w:val="000000" w:themeColor="text1"/>
        </w:rPr>
      </w:pPr>
      <w:r>
        <w:rPr>
          <w:color w:val="000000" w:themeColor="text1"/>
        </w:rPr>
        <w:t>10.</w:t>
      </w:r>
      <w:r>
        <w:rPr>
          <w:color w:val="000000" w:themeColor="text1"/>
        </w:rPr>
        <w:tab/>
      </w:r>
      <w:r w:rsidR="00B97237" w:rsidRPr="00504C20">
        <w:rPr>
          <w:color w:val="000000" w:themeColor="text1"/>
        </w:rPr>
        <w:t xml:space="preserve">More </w:t>
      </w:r>
      <w:r w:rsidR="005F49D2" w:rsidRPr="00504C20">
        <w:rPr>
          <w:color w:val="000000" w:themeColor="text1"/>
        </w:rPr>
        <w:t>fundamentally</w:t>
      </w:r>
      <w:r w:rsidR="00495EFC" w:rsidRPr="00504C20">
        <w:rPr>
          <w:color w:val="000000" w:themeColor="text1"/>
        </w:rPr>
        <w:t xml:space="preserve"> however</w:t>
      </w:r>
      <w:r w:rsidR="00B97237" w:rsidRPr="00504C20">
        <w:rPr>
          <w:color w:val="000000" w:themeColor="text1"/>
        </w:rPr>
        <w:t xml:space="preserve">, the question </w:t>
      </w:r>
      <w:r w:rsidR="00495EFC" w:rsidRPr="00504C20">
        <w:rPr>
          <w:color w:val="000000" w:themeColor="text1"/>
        </w:rPr>
        <w:t>remains as to</w:t>
      </w:r>
      <w:r w:rsidR="00B97237" w:rsidRPr="00504C20">
        <w:rPr>
          <w:color w:val="000000" w:themeColor="text1"/>
        </w:rPr>
        <w:t xml:space="preserve"> whether</w:t>
      </w:r>
      <w:r w:rsidR="00A6140D" w:rsidRPr="00504C20">
        <w:rPr>
          <w:color w:val="000000" w:themeColor="text1"/>
        </w:rPr>
        <w:t xml:space="preserve"> the proposed OECD amendments are robust enough to ensure:</w:t>
      </w:r>
    </w:p>
    <w:p w:rsidR="00A6140D" w:rsidRPr="00504C20" w:rsidRDefault="006163B4" w:rsidP="006163B4">
      <w:pPr>
        <w:pStyle w:val="Num-DocParagraph"/>
        <w:numPr>
          <w:ilvl w:val="0"/>
          <w:numId w:val="29"/>
        </w:numPr>
        <w:spacing w:after="0"/>
        <w:jc w:val="left"/>
        <w:rPr>
          <w:color w:val="000000" w:themeColor="text1"/>
        </w:rPr>
      </w:pPr>
      <w:r w:rsidRPr="00504C20">
        <w:rPr>
          <w:color w:val="000000" w:themeColor="text1"/>
        </w:rPr>
        <w:t xml:space="preserve">A full coverage of the </w:t>
      </w:r>
      <w:r w:rsidR="00A6140D" w:rsidRPr="00504C20">
        <w:rPr>
          <w:color w:val="000000" w:themeColor="text1"/>
        </w:rPr>
        <w:t xml:space="preserve">PE status </w:t>
      </w:r>
      <w:r w:rsidRPr="00504C20">
        <w:rPr>
          <w:color w:val="000000" w:themeColor="text1"/>
        </w:rPr>
        <w:t>to entities that are controlled or dependent on the MNE beyond those</w:t>
      </w:r>
      <w:r w:rsidR="00100D3F">
        <w:rPr>
          <w:color w:val="000000" w:themeColor="text1"/>
        </w:rPr>
        <w:t xml:space="preserve"> involved in sales and logistics and including marketing, manufacturing and back office, other services</w:t>
      </w:r>
      <w:r w:rsidRPr="00504C20">
        <w:rPr>
          <w:color w:val="000000" w:themeColor="text1"/>
        </w:rPr>
        <w:t>;</w:t>
      </w:r>
    </w:p>
    <w:p w:rsidR="006163B4" w:rsidRPr="00504C20" w:rsidRDefault="006163B4" w:rsidP="006163B4">
      <w:pPr>
        <w:pStyle w:val="Num-DocParagraph"/>
        <w:numPr>
          <w:ilvl w:val="0"/>
          <w:numId w:val="29"/>
        </w:numPr>
        <w:spacing w:after="0"/>
        <w:jc w:val="left"/>
        <w:rPr>
          <w:color w:val="000000" w:themeColor="text1"/>
        </w:rPr>
      </w:pPr>
      <w:r w:rsidRPr="00504C20">
        <w:rPr>
          <w:color w:val="000000" w:themeColor="text1"/>
        </w:rPr>
        <w:t xml:space="preserve">A correct application of the PE status that </w:t>
      </w:r>
      <w:r w:rsidR="00100D3F">
        <w:rPr>
          <w:color w:val="000000" w:themeColor="text1"/>
        </w:rPr>
        <w:t xml:space="preserve">truly </w:t>
      </w:r>
      <w:r w:rsidRPr="00504C20">
        <w:rPr>
          <w:color w:val="000000" w:themeColor="text1"/>
        </w:rPr>
        <w:t>reflect</w:t>
      </w:r>
      <w:r w:rsidR="00100D3F">
        <w:rPr>
          <w:color w:val="000000" w:themeColor="text1"/>
        </w:rPr>
        <w:t>s</w:t>
      </w:r>
      <w:r w:rsidRPr="00504C20">
        <w:rPr>
          <w:color w:val="000000" w:themeColor="text1"/>
        </w:rPr>
        <w:t xml:space="preserve"> the economic distribution of risk between the MNE and its local entities</w:t>
      </w:r>
      <w:r w:rsidR="00100D3F">
        <w:rPr>
          <w:color w:val="000000" w:themeColor="text1"/>
        </w:rPr>
        <w:t xml:space="preserve"> and that, among others, would prevent abusive use of the LRD status</w:t>
      </w:r>
      <w:r w:rsidRPr="00504C20">
        <w:rPr>
          <w:color w:val="000000" w:themeColor="text1"/>
        </w:rPr>
        <w:t>.</w:t>
      </w:r>
    </w:p>
    <w:p w:rsidR="00B97237" w:rsidRDefault="00B97237" w:rsidP="004E5553">
      <w:pPr>
        <w:pStyle w:val="Num-DocParagraph"/>
        <w:spacing w:after="0"/>
        <w:jc w:val="left"/>
        <w:rPr>
          <w:color w:val="000000" w:themeColor="text1"/>
        </w:rPr>
      </w:pPr>
    </w:p>
    <w:p w:rsidR="00CA1CD9" w:rsidRDefault="00CA1CD9" w:rsidP="004E5553">
      <w:pPr>
        <w:pStyle w:val="Num-DocParagraph"/>
        <w:spacing w:after="0"/>
        <w:jc w:val="left"/>
        <w:rPr>
          <w:color w:val="000000" w:themeColor="text1"/>
        </w:rPr>
      </w:pPr>
      <w:r>
        <w:rPr>
          <w:color w:val="000000" w:themeColor="text1"/>
        </w:rPr>
        <w:t>11.</w:t>
      </w:r>
      <w:r>
        <w:rPr>
          <w:color w:val="000000" w:themeColor="text1"/>
        </w:rPr>
        <w:tab/>
        <w:t xml:space="preserve">We also note and welcome the separate contribution by the </w:t>
      </w:r>
      <w:r w:rsidRPr="00CA1CD9">
        <w:rPr>
          <w:color w:val="000000" w:themeColor="text1"/>
        </w:rPr>
        <w:t>BEPS M</w:t>
      </w:r>
      <w:r>
        <w:rPr>
          <w:color w:val="000000" w:themeColor="text1"/>
        </w:rPr>
        <w:t>onitoring Group (BMG) to this OECD public consultation.</w:t>
      </w:r>
    </w:p>
    <w:p w:rsidR="00CA1CD9" w:rsidRDefault="00CA1CD9" w:rsidP="004E5553">
      <w:pPr>
        <w:pStyle w:val="Num-DocParagraph"/>
        <w:spacing w:after="0"/>
        <w:jc w:val="left"/>
        <w:rPr>
          <w:color w:val="000000" w:themeColor="text1"/>
        </w:rPr>
      </w:pPr>
    </w:p>
    <w:p w:rsidR="001A2E19" w:rsidRPr="00504C20" w:rsidRDefault="001A2E19" w:rsidP="004E5553">
      <w:pPr>
        <w:pStyle w:val="Num-DocParagraph"/>
        <w:spacing w:after="0"/>
        <w:jc w:val="left"/>
        <w:rPr>
          <w:color w:val="000000" w:themeColor="text1"/>
        </w:rPr>
      </w:pPr>
      <w:r>
        <w:rPr>
          <w:color w:val="000000" w:themeColor="text1"/>
        </w:rPr>
        <w:br w:type="page"/>
      </w:r>
    </w:p>
    <w:p w:rsidR="00D43D53" w:rsidRPr="00504C20" w:rsidRDefault="00D43D53" w:rsidP="004E5553">
      <w:pPr>
        <w:pStyle w:val="Heading1"/>
        <w:rPr>
          <w:rFonts w:ascii="Times New Roman" w:hAnsi="Times New Roman" w:cs="Times New Roman"/>
          <w:color w:val="000000" w:themeColor="text1"/>
        </w:rPr>
      </w:pPr>
      <w:r w:rsidRPr="00504C20">
        <w:rPr>
          <w:rFonts w:ascii="Times New Roman" w:hAnsi="Times New Roman" w:cs="Times New Roman"/>
          <w:color w:val="000000" w:themeColor="text1"/>
        </w:rPr>
        <w:t xml:space="preserve">Annex: A case study, the restructuring of </w:t>
      </w:r>
      <w:r w:rsidR="004A4F1A" w:rsidRPr="00504C20">
        <w:rPr>
          <w:rFonts w:ascii="Times New Roman" w:hAnsi="Times New Roman" w:cs="Times New Roman"/>
          <w:color w:val="000000" w:themeColor="text1"/>
        </w:rPr>
        <w:t>CP</w:t>
      </w:r>
      <w:r w:rsidRPr="00504C20">
        <w:rPr>
          <w:rFonts w:ascii="Times New Roman" w:hAnsi="Times New Roman" w:cs="Times New Roman"/>
          <w:color w:val="000000" w:themeColor="text1"/>
        </w:rPr>
        <w:t xml:space="preserve"> France</w:t>
      </w:r>
    </w:p>
    <w:p w:rsidR="00D43D53" w:rsidRPr="00504C20" w:rsidRDefault="00D43D53" w:rsidP="004E5553">
      <w:pPr>
        <w:pStyle w:val="Num-DocParagraph"/>
        <w:spacing w:after="0"/>
        <w:jc w:val="left"/>
        <w:rPr>
          <w:color w:val="000000" w:themeColor="text1"/>
        </w:rPr>
      </w:pPr>
      <w:r w:rsidRPr="00504C20">
        <w:rPr>
          <w:color w:val="000000" w:themeColor="text1"/>
        </w:rPr>
        <w:t xml:space="preserve">Up until </w:t>
      </w:r>
      <w:r w:rsidR="004A539A" w:rsidRPr="00504C20">
        <w:rPr>
          <w:color w:val="000000" w:themeColor="text1"/>
        </w:rPr>
        <w:t>2005</w:t>
      </w:r>
      <w:r w:rsidRPr="00504C20">
        <w:rPr>
          <w:color w:val="000000" w:themeColor="text1"/>
        </w:rPr>
        <w:t xml:space="preserve">, </w:t>
      </w:r>
      <w:r w:rsidR="004A539A" w:rsidRPr="00504C20">
        <w:rPr>
          <w:color w:val="000000" w:themeColor="text1"/>
        </w:rPr>
        <w:t>“</w:t>
      </w:r>
      <w:r w:rsidR="004A4F1A" w:rsidRPr="00504C20">
        <w:rPr>
          <w:color w:val="000000" w:themeColor="text1"/>
        </w:rPr>
        <w:t>CP Global</w:t>
      </w:r>
      <w:r w:rsidR="004A539A" w:rsidRPr="00504C20">
        <w:rPr>
          <w:color w:val="000000" w:themeColor="text1"/>
        </w:rPr>
        <w:t>”</w:t>
      </w:r>
      <w:r w:rsidRPr="00504C20">
        <w:rPr>
          <w:color w:val="000000" w:themeColor="text1"/>
        </w:rPr>
        <w:t xml:space="preserve"> </w:t>
      </w:r>
      <w:r w:rsidR="00876786" w:rsidRPr="00504C20">
        <w:rPr>
          <w:color w:val="000000" w:themeColor="text1"/>
        </w:rPr>
        <w:t>operated</w:t>
      </w:r>
      <w:r w:rsidRPr="00504C20">
        <w:rPr>
          <w:color w:val="000000" w:themeColor="text1"/>
        </w:rPr>
        <w:t xml:space="preserve"> a decentralised organisation outside </w:t>
      </w:r>
      <w:r w:rsidR="004A4F1A" w:rsidRPr="00504C20">
        <w:rPr>
          <w:color w:val="000000" w:themeColor="text1"/>
        </w:rPr>
        <w:t>its</w:t>
      </w:r>
      <w:r w:rsidRPr="00504C20">
        <w:rPr>
          <w:color w:val="000000" w:themeColor="text1"/>
        </w:rPr>
        <w:t xml:space="preserve"> </w:t>
      </w:r>
      <w:r w:rsidR="004A4F1A" w:rsidRPr="00504C20">
        <w:rPr>
          <w:color w:val="000000" w:themeColor="text1"/>
        </w:rPr>
        <w:t xml:space="preserve">parent </w:t>
      </w:r>
      <w:r w:rsidRPr="00504C20">
        <w:rPr>
          <w:color w:val="000000" w:themeColor="text1"/>
        </w:rPr>
        <w:t>jurisdiction</w:t>
      </w:r>
      <w:r w:rsidR="004A4F1A" w:rsidRPr="00504C20">
        <w:rPr>
          <w:color w:val="000000" w:themeColor="text1"/>
        </w:rPr>
        <w:t xml:space="preserve"> in the US</w:t>
      </w:r>
      <w:r w:rsidRPr="00504C20">
        <w:rPr>
          <w:color w:val="000000" w:themeColor="text1"/>
        </w:rPr>
        <w:t>. The French subsidiary</w:t>
      </w:r>
      <w:r w:rsidR="004A4F1A" w:rsidRPr="00504C20">
        <w:rPr>
          <w:color w:val="000000" w:themeColor="text1"/>
        </w:rPr>
        <w:t>, CP France,</w:t>
      </w:r>
      <w:r w:rsidRPr="00504C20">
        <w:rPr>
          <w:color w:val="000000" w:themeColor="text1"/>
        </w:rPr>
        <w:t xml:space="preserve"> was structured around a holding company which controlled all operational activities, including two production sites and several local commercial companies. From a tax point of view, the holding company was the</w:t>
      </w:r>
      <w:r w:rsidR="004A4F1A" w:rsidRPr="00504C20">
        <w:rPr>
          <w:color w:val="000000" w:themeColor="text1"/>
        </w:rPr>
        <w:t xml:space="preserve"> Principal and</w:t>
      </w:r>
      <w:r w:rsidRPr="00504C20">
        <w:rPr>
          <w:color w:val="000000" w:themeColor="text1"/>
        </w:rPr>
        <w:t xml:space="preserve"> “primary contractor” and hence reported all profits and net income</w:t>
      </w:r>
      <w:r w:rsidR="004A4F1A" w:rsidRPr="00504C20">
        <w:rPr>
          <w:color w:val="000000" w:themeColor="text1"/>
        </w:rPr>
        <w:t>s</w:t>
      </w:r>
      <w:r w:rsidRPr="00504C20">
        <w:rPr>
          <w:color w:val="000000" w:themeColor="text1"/>
        </w:rPr>
        <w:t xml:space="preserve"> generated in France.</w:t>
      </w:r>
    </w:p>
    <w:p w:rsidR="00D43D53" w:rsidRPr="00504C20" w:rsidRDefault="00D43D53" w:rsidP="004E5553">
      <w:pPr>
        <w:pStyle w:val="Heading2"/>
        <w:rPr>
          <w:rFonts w:cs="Times New Roman"/>
          <w:color w:val="000000" w:themeColor="text1"/>
        </w:rPr>
      </w:pPr>
      <w:r w:rsidRPr="00504C20">
        <w:rPr>
          <w:rFonts w:cs="Times New Roman"/>
          <w:color w:val="000000" w:themeColor="text1"/>
        </w:rPr>
        <w:t>The restructuring</w:t>
      </w:r>
    </w:p>
    <w:p w:rsidR="00D43D53" w:rsidRPr="00504C20" w:rsidRDefault="00D43D53" w:rsidP="004E5553">
      <w:pPr>
        <w:pStyle w:val="Num-DocParagraph"/>
        <w:spacing w:after="0"/>
        <w:jc w:val="left"/>
        <w:rPr>
          <w:color w:val="000000" w:themeColor="text1"/>
        </w:rPr>
      </w:pPr>
      <w:r w:rsidRPr="00504C20">
        <w:rPr>
          <w:color w:val="000000" w:themeColor="text1"/>
        </w:rPr>
        <w:t>In 200</w:t>
      </w:r>
      <w:r w:rsidR="004A4F1A" w:rsidRPr="00504C20">
        <w:rPr>
          <w:color w:val="000000" w:themeColor="text1"/>
        </w:rPr>
        <w:t>5</w:t>
      </w:r>
      <w:r w:rsidRPr="00504C20">
        <w:rPr>
          <w:color w:val="000000" w:themeColor="text1"/>
        </w:rPr>
        <w:t xml:space="preserve"> the European operations went through important structural changes. A new company was created in Switzerland</w:t>
      </w:r>
      <w:r w:rsidR="004A4F1A" w:rsidRPr="00504C20">
        <w:rPr>
          <w:color w:val="000000" w:themeColor="text1"/>
        </w:rPr>
        <w:t xml:space="preserve">, CP Beta, </w:t>
      </w:r>
      <w:r w:rsidRPr="00504C20">
        <w:rPr>
          <w:color w:val="000000" w:themeColor="text1"/>
        </w:rPr>
        <w:t xml:space="preserve">and became the primary contractor for </w:t>
      </w:r>
      <w:r w:rsidR="004A4F1A" w:rsidRPr="00504C20">
        <w:rPr>
          <w:color w:val="000000" w:themeColor="text1"/>
        </w:rPr>
        <w:t xml:space="preserve">all </w:t>
      </w:r>
      <w:r w:rsidRPr="00504C20">
        <w:rPr>
          <w:color w:val="000000" w:themeColor="text1"/>
        </w:rPr>
        <w:t xml:space="preserve">operations in Europe. </w:t>
      </w:r>
      <w:r w:rsidR="004A4F1A" w:rsidRPr="00504C20">
        <w:rPr>
          <w:color w:val="000000" w:themeColor="text1"/>
        </w:rPr>
        <w:t xml:space="preserve">As a result of this centralisation of businesses in Europe, the </w:t>
      </w:r>
      <w:r w:rsidR="006E0D8D" w:rsidRPr="00504C20">
        <w:rPr>
          <w:color w:val="000000" w:themeColor="text1"/>
        </w:rPr>
        <w:t xml:space="preserve">status of </w:t>
      </w:r>
      <w:r w:rsidR="004A4F1A" w:rsidRPr="00504C20">
        <w:rPr>
          <w:color w:val="000000" w:themeColor="text1"/>
        </w:rPr>
        <w:t xml:space="preserve">local distribution </w:t>
      </w:r>
      <w:r w:rsidRPr="00504C20">
        <w:rPr>
          <w:color w:val="000000" w:themeColor="text1"/>
        </w:rPr>
        <w:t xml:space="preserve">companies </w:t>
      </w:r>
      <w:r w:rsidR="004A4F1A" w:rsidRPr="00504C20">
        <w:rPr>
          <w:color w:val="000000" w:themeColor="text1"/>
        </w:rPr>
        <w:t>of CP France</w:t>
      </w:r>
      <w:r w:rsidR="006E0D8D" w:rsidRPr="00504C20">
        <w:rPr>
          <w:color w:val="000000" w:themeColor="text1"/>
        </w:rPr>
        <w:t xml:space="preserve"> went from that of</w:t>
      </w:r>
      <w:r w:rsidR="004A4F1A" w:rsidRPr="00504C20">
        <w:rPr>
          <w:color w:val="000000" w:themeColor="text1"/>
        </w:rPr>
        <w:t xml:space="preserve"> fully fledged distributor </w:t>
      </w:r>
      <w:r w:rsidRPr="00504C20">
        <w:rPr>
          <w:color w:val="000000" w:themeColor="text1"/>
        </w:rPr>
        <w:t>to</w:t>
      </w:r>
      <w:r w:rsidR="00504C20" w:rsidRPr="00504C20">
        <w:rPr>
          <w:color w:val="000000" w:themeColor="text1"/>
        </w:rPr>
        <w:t xml:space="preserve"> </w:t>
      </w:r>
      <w:r w:rsidRPr="00504C20">
        <w:rPr>
          <w:color w:val="000000" w:themeColor="text1"/>
        </w:rPr>
        <w:t>limited risk distributor</w:t>
      </w:r>
      <w:r w:rsidR="004A4F1A" w:rsidRPr="00504C20">
        <w:rPr>
          <w:color w:val="000000" w:themeColor="text1"/>
        </w:rPr>
        <w:t xml:space="preserve"> (LRD)</w:t>
      </w:r>
      <w:r w:rsidR="00394C22" w:rsidRPr="00504C20">
        <w:rPr>
          <w:color w:val="000000" w:themeColor="text1"/>
        </w:rPr>
        <w:t>. The LRDs were buying CP finished products and selling</w:t>
      </w:r>
      <w:r w:rsidR="002A2BE7" w:rsidRPr="00504C20">
        <w:rPr>
          <w:color w:val="000000" w:themeColor="text1"/>
        </w:rPr>
        <w:t xml:space="preserve"> them</w:t>
      </w:r>
      <w:r w:rsidR="00394C22" w:rsidRPr="00504C20">
        <w:rPr>
          <w:color w:val="000000" w:themeColor="text1"/>
        </w:rPr>
        <w:t xml:space="preserve"> to </w:t>
      </w:r>
      <w:proofErr w:type="gramStart"/>
      <w:r w:rsidR="00394C22" w:rsidRPr="00504C20">
        <w:rPr>
          <w:color w:val="000000" w:themeColor="text1"/>
        </w:rPr>
        <w:t>French</w:t>
      </w:r>
      <w:proofErr w:type="gramEnd"/>
      <w:r w:rsidR="00394C22" w:rsidRPr="00504C20">
        <w:rPr>
          <w:color w:val="000000" w:themeColor="text1"/>
        </w:rPr>
        <w:t xml:space="preserve"> customers at pricing and terms of reference set by CP Beta which were equivalent to a 2.5% margin on the turnover made in France. LRDs nevertheless </w:t>
      </w:r>
      <w:r w:rsidR="002A2BE7" w:rsidRPr="00504C20">
        <w:rPr>
          <w:color w:val="000000" w:themeColor="text1"/>
        </w:rPr>
        <w:t xml:space="preserve">continued to hold </w:t>
      </w:r>
      <w:r w:rsidR="00394C22" w:rsidRPr="00504C20">
        <w:rPr>
          <w:color w:val="000000" w:themeColor="text1"/>
        </w:rPr>
        <w:t>important marketing and sales functions including: business development, contract negotiation; sales order and taking and execution of the marketing strategy set by CP Beta.</w:t>
      </w:r>
      <w:r w:rsidRPr="00504C20">
        <w:rPr>
          <w:color w:val="000000" w:themeColor="text1"/>
        </w:rPr>
        <w:t xml:space="preserve"> </w:t>
      </w:r>
      <w:r w:rsidR="00394C22" w:rsidRPr="00504C20">
        <w:rPr>
          <w:color w:val="000000" w:themeColor="text1"/>
        </w:rPr>
        <w:t xml:space="preserve">Similarly </w:t>
      </w:r>
      <w:r w:rsidRPr="00504C20">
        <w:rPr>
          <w:color w:val="000000" w:themeColor="text1"/>
        </w:rPr>
        <w:t xml:space="preserve">the industrial sites </w:t>
      </w:r>
      <w:r w:rsidR="004A4F1A" w:rsidRPr="00504C20">
        <w:rPr>
          <w:color w:val="000000" w:themeColor="text1"/>
        </w:rPr>
        <w:t xml:space="preserve">became </w:t>
      </w:r>
      <w:r w:rsidRPr="00504C20">
        <w:rPr>
          <w:color w:val="000000" w:themeColor="text1"/>
        </w:rPr>
        <w:t>sub-contracted manufacturers with specific terms of reference and pricing</w:t>
      </w:r>
      <w:r w:rsidR="004A4F1A" w:rsidRPr="00504C20">
        <w:rPr>
          <w:color w:val="000000" w:themeColor="text1"/>
        </w:rPr>
        <w:t xml:space="preserve"> arrangement</w:t>
      </w:r>
      <w:r w:rsidR="00394C22" w:rsidRPr="00504C20">
        <w:rPr>
          <w:color w:val="000000" w:themeColor="text1"/>
        </w:rPr>
        <w:t>s</w:t>
      </w:r>
      <w:r w:rsidR="004A4F1A" w:rsidRPr="00504C20">
        <w:rPr>
          <w:color w:val="000000" w:themeColor="text1"/>
        </w:rPr>
        <w:t xml:space="preserve"> that were</w:t>
      </w:r>
      <w:r w:rsidRPr="00504C20">
        <w:rPr>
          <w:color w:val="000000" w:themeColor="text1"/>
        </w:rPr>
        <w:t xml:space="preserve"> </w:t>
      </w:r>
      <w:r w:rsidR="00394C22" w:rsidRPr="00504C20">
        <w:rPr>
          <w:color w:val="000000" w:themeColor="text1"/>
        </w:rPr>
        <w:t xml:space="preserve">also </w:t>
      </w:r>
      <w:r w:rsidRPr="00504C20">
        <w:rPr>
          <w:color w:val="000000" w:themeColor="text1"/>
        </w:rPr>
        <w:t xml:space="preserve">set </w:t>
      </w:r>
      <w:r w:rsidR="004A4F1A" w:rsidRPr="00504C20">
        <w:rPr>
          <w:color w:val="000000" w:themeColor="text1"/>
        </w:rPr>
        <w:t xml:space="preserve">unilaterally </w:t>
      </w:r>
      <w:r w:rsidRPr="00504C20">
        <w:rPr>
          <w:color w:val="000000" w:themeColor="text1"/>
        </w:rPr>
        <w:t xml:space="preserve">by </w:t>
      </w:r>
      <w:r w:rsidR="004A4F1A" w:rsidRPr="00504C20">
        <w:rPr>
          <w:color w:val="000000" w:themeColor="text1"/>
        </w:rPr>
        <w:t>CP Beta</w:t>
      </w:r>
      <w:r w:rsidRPr="00504C20">
        <w:rPr>
          <w:color w:val="000000" w:themeColor="text1"/>
        </w:rPr>
        <w:t>. The French holding company, which previously had a primary contractor role, became a service provider for the other French entities or</w:t>
      </w:r>
      <w:r w:rsidR="0011084F" w:rsidRPr="00504C20">
        <w:rPr>
          <w:color w:val="000000" w:themeColor="text1"/>
        </w:rPr>
        <w:t xml:space="preserve"> </w:t>
      </w:r>
      <w:r w:rsidRPr="00504C20">
        <w:rPr>
          <w:color w:val="000000" w:themeColor="text1"/>
        </w:rPr>
        <w:t xml:space="preserve">for </w:t>
      </w:r>
      <w:r w:rsidR="004A4F1A" w:rsidRPr="00504C20">
        <w:rPr>
          <w:color w:val="000000" w:themeColor="text1"/>
        </w:rPr>
        <w:t>CP Beta</w:t>
      </w:r>
      <w:r w:rsidR="00394C22" w:rsidRPr="00504C20">
        <w:rPr>
          <w:color w:val="000000" w:themeColor="text1"/>
        </w:rPr>
        <w:t>, the pricing of which was set by CP Beta at cost+6%</w:t>
      </w:r>
      <w:r w:rsidRPr="00504C20">
        <w:rPr>
          <w:color w:val="000000" w:themeColor="text1"/>
        </w:rPr>
        <w:t>.</w:t>
      </w:r>
    </w:p>
    <w:p w:rsidR="004D1258" w:rsidRPr="00504C20" w:rsidRDefault="004D1258" w:rsidP="004E5553">
      <w:pPr>
        <w:pStyle w:val="Num-DocParagraph"/>
        <w:spacing w:after="0"/>
        <w:jc w:val="left"/>
        <w:rPr>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504C20" w:rsidRPr="00504C20" w:rsidTr="006B2EE2">
        <w:trPr>
          <w:cantSplit/>
        </w:trPr>
        <w:tc>
          <w:tcPr>
            <w:tcW w:w="9072" w:type="dxa"/>
            <w:gridSpan w:val="2"/>
          </w:tcPr>
          <w:p w:rsidR="00B706D3" w:rsidRPr="00504C20" w:rsidRDefault="00B706D3" w:rsidP="004E5553">
            <w:pPr>
              <w:pStyle w:val="Num-DocParagraph"/>
              <w:spacing w:after="0"/>
              <w:jc w:val="left"/>
              <w:rPr>
                <w:b/>
                <w:color w:val="000000" w:themeColor="text1"/>
              </w:rPr>
            </w:pPr>
            <w:r w:rsidRPr="00504C20">
              <w:rPr>
                <w:b/>
                <w:color w:val="000000" w:themeColor="text1"/>
              </w:rPr>
              <w:t>The business restructuring of CP France in 2005</w:t>
            </w:r>
          </w:p>
        </w:tc>
      </w:tr>
      <w:tr w:rsidR="00504C20" w:rsidRPr="00504C20" w:rsidTr="00394C22">
        <w:trPr>
          <w:cantSplit/>
        </w:trPr>
        <w:tc>
          <w:tcPr>
            <w:tcW w:w="3119" w:type="dxa"/>
          </w:tcPr>
          <w:p w:rsidR="00D43D53" w:rsidRPr="00504C20" w:rsidRDefault="00D43D53" w:rsidP="004E5553">
            <w:pPr>
              <w:pStyle w:val="Num-DocParagraph"/>
              <w:spacing w:after="0"/>
              <w:jc w:val="left"/>
              <w:rPr>
                <w:color w:val="000000" w:themeColor="text1"/>
              </w:rPr>
            </w:pPr>
            <w:r w:rsidRPr="00504C20">
              <w:rPr>
                <w:color w:val="000000" w:themeColor="text1"/>
              </w:rPr>
              <w:t>Before:</w:t>
            </w:r>
          </w:p>
        </w:tc>
        <w:tc>
          <w:tcPr>
            <w:tcW w:w="5953" w:type="dxa"/>
          </w:tcPr>
          <w:p w:rsidR="00D43D53" w:rsidRPr="00504C20" w:rsidRDefault="00D43D53" w:rsidP="004E5553">
            <w:pPr>
              <w:pStyle w:val="Num-DocParagraph"/>
              <w:spacing w:after="0"/>
              <w:jc w:val="left"/>
              <w:rPr>
                <w:color w:val="000000" w:themeColor="text1"/>
              </w:rPr>
            </w:pPr>
            <w:r w:rsidRPr="00504C20">
              <w:rPr>
                <w:color w:val="000000" w:themeColor="text1"/>
              </w:rPr>
              <w:t>After:</w:t>
            </w:r>
          </w:p>
        </w:tc>
      </w:tr>
      <w:tr w:rsidR="00D43D53" w:rsidRPr="00504C20" w:rsidTr="00394C22">
        <w:trPr>
          <w:cantSplit/>
        </w:trPr>
        <w:tc>
          <w:tcPr>
            <w:tcW w:w="3119" w:type="dxa"/>
          </w:tcPr>
          <w:p w:rsidR="00D43D53" w:rsidRPr="00504C20" w:rsidRDefault="005748F5" w:rsidP="004E5553">
            <w:pPr>
              <w:pStyle w:val="Num-DocParagraph"/>
              <w:spacing w:after="0"/>
              <w:jc w:val="left"/>
              <w:rPr>
                <w:color w:val="000000" w:themeColor="text1"/>
              </w:rPr>
            </w:pPr>
            <w:r w:rsidRPr="00504C20">
              <w:rPr>
                <w:noProof/>
                <w:color w:val="000000" w:themeColor="text1"/>
                <w:lang w:eastAsia="en-GB"/>
              </w:rPr>
              <w:drawing>
                <wp:inline distT="0" distB="0" distL="0" distR="0" wp14:anchorId="239F7BB8" wp14:editId="385A0BF3">
                  <wp:extent cx="1843405" cy="2249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befo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405" cy="2249805"/>
                          </a:xfrm>
                          <a:prstGeom prst="rect">
                            <a:avLst/>
                          </a:prstGeom>
                        </pic:spPr>
                      </pic:pic>
                    </a:graphicData>
                  </a:graphic>
                </wp:inline>
              </w:drawing>
            </w:r>
          </w:p>
        </w:tc>
        <w:tc>
          <w:tcPr>
            <w:tcW w:w="5953" w:type="dxa"/>
          </w:tcPr>
          <w:p w:rsidR="00D43D53" w:rsidRPr="00504C20" w:rsidRDefault="00A22BDD" w:rsidP="004E5553">
            <w:pPr>
              <w:pStyle w:val="Num-DocParagraph"/>
              <w:spacing w:after="0"/>
              <w:jc w:val="left"/>
              <w:rPr>
                <w:color w:val="000000" w:themeColor="text1"/>
              </w:rPr>
            </w:pPr>
            <w:r w:rsidRPr="00504C20">
              <w:rPr>
                <w:noProof/>
                <w:color w:val="000000" w:themeColor="text1"/>
                <w:lang w:eastAsia="en-GB"/>
              </w:rPr>
              <w:drawing>
                <wp:inline distT="0" distB="0" distL="0" distR="0" wp14:anchorId="71893567" wp14:editId="37D29F3D">
                  <wp:extent cx="3716320" cy="2394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f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0516" cy="2397346"/>
                          </a:xfrm>
                          <a:prstGeom prst="rect">
                            <a:avLst/>
                          </a:prstGeom>
                        </pic:spPr>
                      </pic:pic>
                    </a:graphicData>
                  </a:graphic>
                </wp:inline>
              </w:drawing>
            </w:r>
          </w:p>
        </w:tc>
      </w:tr>
    </w:tbl>
    <w:p w:rsidR="00D97582" w:rsidRPr="00504C20" w:rsidRDefault="00D97582" w:rsidP="004E5553">
      <w:pPr>
        <w:pStyle w:val="Num-DocParagraph"/>
        <w:spacing w:after="0"/>
        <w:jc w:val="left"/>
        <w:rPr>
          <w:color w:val="000000" w:themeColor="text1"/>
        </w:rPr>
      </w:pPr>
    </w:p>
    <w:p w:rsidR="00D43D53" w:rsidRPr="00504C20" w:rsidRDefault="00D43D53" w:rsidP="004E5553">
      <w:pPr>
        <w:pStyle w:val="Num-DocParagraph"/>
        <w:spacing w:after="0"/>
        <w:jc w:val="left"/>
        <w:rPr>
          <w:color w:val="000000" w:themeColor="text1"/>
        </w:rPr>
      </w:pPr>
      <w:r w:rsidRPr="00504C20">
        <w:rPr>
          <w:color w:val="000000" w:themeColor="text1"/>
        </w:rPr>
        <w:t>As a result of the restructuring, profits reported by the business entities in France fell sharply. The operating margin of the French commercial companies was divided by 4</w:t>
      </w:r>
      <w:r w:rsidR="004E5553" w:rsidRPr="00504C20">
        <w:rPr>
          <w:color w:val="000000" w:themeColor="text1"/>
        </w:rPr>
        <w:t>, from 10% to 2.5%</w:t>
      </w:r>
      <w:r w:rsidRPr="00504C20">
        <w:rPr>
          <w:color w:val="000000" w:themeColor="text1"/>
        </w:rPr>
        <w:t>. Suspecting illicit transfer pricing and transfer of profits abroad, the French tax administration launched a tax audit of the French subsidiary over the period 200</w:t>
      </w:r>
      <w:r w:rsidR="004E5553" w:rsidRPr="00504C20">
        <w:rPr>
          <w:color w:val="000000" w:themeColor="text1"/>
        </w:rPr>
        <w:t>5</w:t>
      </w:r>
      <w:r w:rsidRPr="00504C20">
        <w:rPr>
          <w:color w:val="000000" w:themeColor="text1"/>
        </w:rPr>
        <w:t>-200</w:t>
      </w:r>
      <w:r w:rsidR="004E5553" w:rsidRPr="00504C20">
        <w:rPr>
          <w:color w:val="000000" w:themeColor="text1"/>
        </w:rPr>
        <w:t>8</w:t>
      </w:r>
      <w:r w:rsidRPr="00504C20">
        <w:rPr>
          <w:color w:val="000000" w:themeColor="text1"/>
        </w:rPr>
        <w:t xml:space="preserve">. The French administration challenged the status of </w:t>
      </w:r>
      <w:r w:rsidR="004E5553" w:rsidRPr="00504C20">
        <w:rPr>
          <w:color w:val="000000" w:themeColor="text1"/>
        </w:rPr>
        <w:t>CP Beta</w:t>
      </w:r>
      <w:r w:rsidRPr="00504C20">
        <w:rPr>
          <w:color w:val="000000" w:themeColor="text1"/>
        </w:rPr>
        <w:t xml:space="preserve"> as the primary contractor for French operations on the ground that:</w:t>
      </w:r>
    </w:p>
    <w:p w:rsidR="004E5553" w:rsidRPr="00504C20" w:rsidRDefault="004E5553" w:rsidP="004E5553">
      <w:pPr>
        <w:pStyle w:val="Num-DocParagraph"/>
        <w:numPr>
          <w:ilvl w:val="0"/>
          <w:numId w:val="24"/>
        </w:numPr>
        <w:spacing w:after="0"/>
        <w:jc w:val="left"/>
        <w:rPr>
          <w:color w:val="000000" w:themeColor="text1"/>
        </w:rPr>
      </w:pPr>
      <w:r w:rsidRPr="00504C20">
        <w:rPr>
          <w:color w:val="000000" w:themeColor="text1"/>
        </w:rPr>
        <w:t>The reorganisation around CP Beta as the principal</w:t>
      </w:r>
      <w:r w:rsidR="002A2BE7" w:rsidRPr="00504C20">
        <w:rPr>
          <w:color w:val="000000" w:themeColor="text1"/>
        </w:rPr>
        <w:t xml:space="preserve"> contractor</w:t>
      </w:r>
      <w:r w:rsidRPr="00504C20">
        <w:rPr>
          <w:color w:val="000000" w:themeColor="text1"/>
        </w:rPr>
        <w:t xml:space="preserve"> did not lead to a growth of the turnover and of profits generated in France;</w:t>
      </w:r>
    </w:p>
    <w:p w:rsidR="004E5553" w:rsidRPr="00504C20" w:rsidRDefault="004E5553" w:rsidP="004E5553">
      <w:pPr>
        <w:pStyle w:val="Num-DocParagraph"/>
        <w:numPr>
          <w:ilvl w:val="0"/>
          <w:numId w:val="24"/>
        </w:numPr>
        <w:spacing w:after="0"/>
        <w:jc w:val="left"/>
        <w:rPr>
          <w:color w:val="000000" w:themeColor="text1"/>
        </w:rPr>
      </w:pPr>
      <w:r w:rsidRPr="00504C20">
        <w:rPr>
          <w:color w:val="000000" w:themeColor="text1"/>
        </w:rPr>
        <w:t>CP Beta</w:t>
      </w:r>
      <w:r w:rsidR="00D43D53" w:rsidRPr="00504C20">
        <w:rPr>
          <w:color w:val="000000" w:themeColor="text1"/>
        </w:rPr>
        <w:t xml:space="preserve"> did not have the means to fulfil its responsibilities as shown by the fact that essential functions were subcontracted to the French holding company and other entities</w:t>
      </w:r>
      <w:r w:rsidR="00FE1F3A">
        <w:rPr>
          <w:color w:val="000000" w:themeColor="text1"/>
        </w:rPr>
        <w:t>;</w:t>
      </w:r>
    </w:p>
    <w:p w:rsidR="00D43D53" w:rsidRPr="00504C20" w:rsidRDefault="00FE1F3A" w:rsidP="004E5553">
      <w:pPr>
        <w:pStyle w:val="Num-DocParagraph"/>
        <w:numPr>
          <w:ilvl w:val="0"/>
          <w:numId w:val="24"/>
        </w:numPr>
        <w:spacing w:after="0"/>
        <w:jc w:val="left"/>
        <w:rPr>
          <w:color w:val="000000" w:themeColor="text1"/>
        </w:rPr>
      </w:pPr>
      <w:r>
        <w:rPr>
          <w:color w:val="000000" w:themeColor="text1"/>
        </w:rPr>
        <w:lastRenderedPageBreak/>
        <w:t>CP Beta</w:t>
      </w:r>
      <w:r w:rsidR="00D43D53" w:rsidRPr="00504C20">
        <w:rPr>
          <w:color w:val="000000" w:themeColor="text1"/>
        </w:rPr>
        <w:t xml:space="preserve"> was under-capitalised to cope with the operational and market risks to which it claimed to be exposed to as a primary contractor</w:t>
      </w:r>
      <w:r>
        <w:rPr>
          <w:color w:val="000000" w:themeColor="text1"/>
        </w:rPr>
        <w:t xml:space="preserve"> in France;</w:t>
      </w:r>
      <w:r w:rsidR="00D43D53" w:rsidRPr="00504C20">
        <w:rPr>
          <w:color w:val="000000" w:themeColor="text1"/>
        </w:rPr>
        <w:t xml:space="preserve"> and</w:t>
      </w:r>
    </w:p>
    <w:p w:rsidR="00D43D53" w:rsidRPr="00504C20" w:rsidRDefault="004E5553" w:rsidP="004E5553">
      <w:pPr>
        <w:pStyle w:val="Num-DocParagraph"/>
        <w:numPr>
          <w:ilvl w:val="0"/>
          <w:numId w:val="24"/>
        </w:numPr>
        <w:spacing w:after="0"/>
        <w:jc w:val="left"/>
        <w:rPr>
          <w:color w:val="000000" w:themeColor="text1"/>
        </w:rPr>
      </w:pPr>
      <w:r w:rsidRPr="00504C20">
        <w:rPr>
          <w:color w:val="000000" w:themeColor="text1"/>
        </w:rPr>
        <w:t>It did not own</w:t>
      </w:r>
      <w:r w:rsidR="00D43D53" w:rsidRPr="00504C20">
        <w:rPr>
          <w:color w:val="000000" w:themeColor="text1"/>
        </w:rPr>
        <w:t xml:space="preserve"> the trademarks of the global brands.</w:t>
      </w:r>
    </w:p>
    <w:p w:rsidR="004E5553" w:rsidRPr="00504C20" w:rsidRDefault="004E5553" w:rsidP="004E5553">
      <w:pPr>
        <w:pStyle w:val="Num-DocParagraph"/>
        <w:spacing w:after="0"/>
        <w:jc w:val="left"/>
        <w:rPr>
          <w:color w:val="000000" w:themeColor="text1"/>
        </w:rPr>
      </w:pPr>
    </w:p>
    <w:p w:rsidR="004E5553" w:rsidRPr="00504C20" w:rsidRDefault="00D43D53" w:rsidP="004E5553">
      <w:pPr>
        <w:pStyle w:val="Num-DocParagraph"/>
        <w:spacing w:after="0"/>
        <w:jc w:val="left"/>
        <w:rPr>
          <w:color w:val="000000" w:themeColor="text1"/>
        </w:rPr>
      </w:pPr>
      <w:r w:rsidRPr="00504C20">
        <w:rPr>
          <w:color w:val="000000" w:themeColor="text1"/>
        </w:rPr>
        <w:t>Several millions of euros were claimed by the French tax administration</w:t>
      </w:r>
      <w:r w:rsidR="004E5553" w:rsidRPr="00504C20">
        <w:rPr>
          <w:color w:val="000000" w:themeColor="text1"/>
        </w:rPr>
        <w:t xml:space="preserve"> in tax arrears</w:t>
      </w:r>
      <w:r w:rsidRPr="00504C20">
        <w:rPr>
          <w:color w:val="000000" w:themeColor="text1"/>
        </w:rPr>
        <w:t xml:space="preserve">. </w:t>
      </w:r>
      <w:r w:rsidR="004E5553" w:rsidRPr="00504C20">
        <w:rPr>
          <w:color w:val="000000" w:themeColor="text1"/>
        </w:rPr>
        <w:t>CP Global</w:t>
      </w:r>
      <w:r w:rsidRPr="00504C20">
        <w:rPr>
          <w:color w:val="000000" w:themeColor="text1"/>
        </w:rPr>
        <w:t xml:space="preserve"> contested the decision by defending the primary contractor status of the Swiss entity and arguing that the fall in the margin rate of the French subsidiary was simply due to the transfer of risks to the Swiss entity. </w:t>
      </w:r>
      <w:r w:rsidR="004E5553" w:rsidRPr="00504C20">
        <w:rPr>
          <w:color w:val="000000" w:themeColor="text1"/>
        </w:rPr>
        <w:t>It further argued that t</w:t>
      </w:r>
      <w:r w:rsidRPr="00504C20">
        <w:rPr>
          <w:color w:val="000000" w:themeColor="text1"/>
        </w:rPr>
        <w:t xml:space="preserve">he Swiss entity held the licensing rights for the use of the global brands in Europe, and </w:t>
      </w:r>
      <w:r w:rsidR="004E5553" w:rsidRPr="00504C20">
        <w:rPr>
          <w:color w:val="000000" w:themeColor="text1"/>
        </w:rPr>
        <w:t>that CP Beta</w:t>
      </w:r>
      <w:r w:rsidRPr="00504C20">
        <w:rPr>
          <w:color w:val="000000" w:themeColor="text1"/>
        </w:rPr>
        <w:t xml:space="preserve"> controlled and was exposed to operational and market risks in France regardless of the fact </w:t>
      </w:r>
      <w:r w:rsidR="0011084F" w:rsidRPr="00504C20">
        <w:rPr>
          <w:color w:val="000000" w:themeColor="text1"/>
        </w:rPr>
        <w:t xml:space="preserve">that </w:t>
      </w:r>
      <w:r w:rsidRPr="00504C20">
        <w:rPr>
          <w:color w:val="000000" w:themeColor="text1"/>
        </w:rPr>
        <w:t xml:space="preserve">essential functions were </w:t>
      </w:r>
      <w:r w:rsidR="00FE1F3A">
        <w:rPr>
          <w:color w:val="000000" w:themeColor="text1"/>
        </w:rPr>
        <w:t xml:space="preserve">indeed </w:t>
      </w:r>
      <w:r w:rsidRPr="00504C20">
        <w:rPr>
          <w:color w:val="000000" w:themeColor="text1"/>
        </w:rPr>
        <w:t>subcontracted</w:t>
      </w:r>
      <w:r w:rsidR="00FE1F3A">
        <w:rPr>
          <w:color w:val="000000" w:themeColor="text1"/>
        </w:rPr>
        <w:t xml:space="preserve"> to French entities</w:t>
      </w:r>
      <w:r w:rsidR="004E5553" w:rsidRPr="00504C20">
        <w:rPr>
          <w:rStyle w:val="FootnoteReference"/>
          <w:color w:val="000000" w:themeColor="text1"/>
        </w:rPr>
        <w:footnoteReference w:id="1"/>
      </w:r>
      <w:r w:rsidR="004E5553" w:rsidRPr="00504C20">
        <w:rPr>
          <w:color w:val="000000" w:themeColor="text1"/>
        </w:rPr>
        <w:t>.</w:t>
      </w:r>
    </w:p>
    <w:p w:rsidR="00D43D53" w:rsidRPr="00504C20" w:rsidRDefault="00D43D53" w:rsidP="004E5553">
      <w:pPr>
        <w:pStyle w:val="Heading2"/>
        <w:rPr>
          <w:rFonts w:cs="Times New Roman"/>
          <w:color w:val="000000" w:themeColor="text1"/>
        </w:rPr>
      </w:pPr>
      <w:r w:rsidRPr="00504C20">
        <w:rPr>
          <w:rFonts w:cs="Times New Roman"/>
          <w:color w:val="000000" w:themeColor="text1"/>
        </w:rPr>
        <w:t>Impact on workers</w:t>
      </w:r>
      <w:r w:rsidR="004D1258" w:rsidRPr="00504C20">
        <w:rPr>
          <w:rFonts w:cs="Times New Roman"/>
          <w:color w:val="000000" w:themeColor="text1"/>
        </w:rPr>
        <w:t xml:space="preserve"> employed by CP France</w:t>
      </w:r>
    </w:p>
    <w:p w:rsidR="00B7257E" w:rsidRPr="00504C20" w:rsidRDefault="00D43D53" w:rsidP="004E5553">
      <w:pPr>
        <w:pStyle w:val="Num-DocParagraph"/>
        <w:spacing w:after="0"/>
        <w:jc w:val="left"/>
        <w:rPr>
          <w:color w:val="000000" w:themeColor="text1"/>
        </w:rPr>
      </w:pPr>
      <w:r w:rsidRPr="00504C20">
        <w:rPr>
          <w:color w:val="000000" w:themeColor="text1"/>
        </w:rPr>
        <w:t>The restructuring of 200</w:t>
      </w:r>
      <w:r w:rsidR="004E5553" w:rsidRPr="00504C20">
        <w:rPr>
          <w:color w:val="000000" w:themeColor="text1"/>
        </w:rPr>
        <w:t>5</w:t>
      </w:r>
      <w:r w:rsidR="00B7257E" w:rsidRPr="00504C20">
        <w:rPr>
          <w:color w:val="000000" w:themeColor="text1"/>
        </w:rPr>
        <w:t>, including (</w:t>
      </w:r>
      <w:proofErr w:type="spellStart"/>
      <w:r w:rsidR="00B7257E" w:rsidRPr="00504C20">
        <w:rPr>
          <w:color w:val="000000" w:themeColor="text1"/>
        </w:rPr>
        <w:t>i</w:t>
      </w:r>
      <w:proofErr w:type="spellEnd"/>
      <w:r w:rsidR="00B7257E" w:rsidRPr="00504C20">
        <w:rPr>
          <w:color w:val="000000" w:themeColor="text1"/>
        </w:rPr>
        <w:t>) the fragmentation of CP France and (ii) the transfer of the primary contractor function to Switzerland</w:t>
      </w:r>
      <w:r w:rsidRPr="00504C20">
        <w:rPr>
          <w:color w:val="000000" w:themeColor="text1"/>
        </w:rPr>
        <w:t xml:space="preserve"> had </w:t>
      </w:r>
      <w:r w:rsidR="00B7257E" w:rsidRPr="00504C20">
        <w:rPr>
          <w:color w:val="000000" w:themeColor="text1"/>
        </w:rPr>
        <w:t xml:space="preserve">profound implications for the workers </w:t>
      </w:r>
      <w:r w:rsidR="00FE1F3A">
        <w:rPr>
          <w:color w:val="000000" w:themeColor="text1"/>
        </w:rPr>
        <w:t xml:space="preserve">employee by CP </w:t>
      </w:r>
      <w:r w:rsidR="00B7257E" w:rsidRPr="00504C20">
        <w:rPr>
          <w:color w:val="000000" w:themeColor="text1"/>
        </w:rPr>
        <w:t>France</w:t>
      </w:r>
      <w:r w:rsidR="00EC4E5F" w:rsidRPr="00504C20">
        <w:rPr>
          <w:color w:val="000000" w:themeColor="text1"/>
        </w:rPr>
        <w:t xml:space="preserve"> in three areas</w:t>
      </w:r>
      <w:r w:rsidR="00B7257E" w:rsidRPr="00504C20">
        <w:rPr>
          <w:color w:val="000000" w:themeColor="text1"/>
        </w:rPr>
        <w:t>:</w:t>
      </w:r>
    </w:p>
    <w:p w:rsidR="00465E26" w:rsidRPr="00504C20" w:rsidRDefault="00465E26" w:rsidP="004D1258">
      <w:pPr>
        <w:pStyle w:val="Num-DocParagraph"/>
        <w:numPr>
          <w:ilvl w:val="0"/>
          <w:numId w:val="25"/>
        </w:numPr>
        <w:spacing w:after="0"/>
        <w:jc w:val="left"/>
        <w:rPr>
          <w:color w:val="000000" w:themeColor="text1"/>
        </w:rPr>
      </w:pPr>
      <w:r w:rsidRPr="00504C20">
        <w:rPr>
          <w:color w:val="000000" w:themeColor="text1"/>
        </w:rPr>
        <w:t>The remuneration of workers, via the profit-sharing scheme of the company;</w:t>
      </w:r>
    </w:p>
    <w:p w:rsidR="00B7257E" w:rsidRPr="00504C20" w:rsidRDefault="00B7257E" w:rsidP="004D1258">
      <w:pPr>
        <w:pStyle w:val="Num-DocParagraph"/>
        <w:numPr>
          <w:ilvl w:val="0"/>
          <w:numId w:val="25"/>
        </w:numPr>
        <w:spacing w:after="0"/>
        <w:jc w:val="left"/>
        <w:rPr>
          <w:color w:val="000000" w:themeColor="text1"/>
        </w:rPr>
      </w:pPr>
      <w:r w:rsidRPr="00504C20">
        <w:rPr>
          <w:color w:val="000000" w:themeColor="text1"/>
        </w:rPr>
        <w:t>The quality of the collective bargaining agreement</w:t>
      </w:r>
      <w:r w:rsidR="00FE1F3A">
        <w:rPr>
          <w:color w:val="000000" w:themeColor="text1"/>
        </w:rPr>
        <w:t>; and</w:t>
      </w:r>
    </w:p>
    <w:p w:rsidR="00B7257E" w:rsidRPr="00504C20" w:rsidRDefault="00B7257E" w:rsidP="004D1258">
      <w:pPr>
        <w:pStyle w:val="Num-DocParagraph"/>
        <w:numPr>
          <w:ilvl w:val="0"/>
          <w:numId w:val="25"/>
        </w:numPr>
        <w:spacing w:after="0"/>
        <w:jc w:val="left"/>
        <w:rPr>
          <w:color w:val="000000" w:themeColor="text1"/>
        </w:rPr>
      </w:pPr>
      <w:r w:rsidRPr="00504C20">
        <w:rPr>
          <w:color w:val="000000" w:themeColor="text1"/>
        </w:rPr>
        <w:t xml:space="preserve">The right </w:t>
      </w:r>
      <w:r w:rsidR="00FE1F3A">
        <w:rPr>
          <w:color w:val="000000" w:themeColor="text1"/>
        </w:rPr>
        <w:t xml:space="preserve">of workers (established by French and EU law) </w:t>
      </w:r>
      <w:r w:rsidRPr="00504C20">
        <w:rPr>
          <w:color w:val="000000" w:themeColor="text1"/>
        </w:rPr>
        <w:t>to</w:t>
      </w:r>
      <w:r w:rsidR="00FE1F3A">
        <w:rPr>
          <w:color w:val="000000" w:themeColor="text1"/>
        </w:rPr>
        <w:t xml:space="preserve"> information and to consultation.</w:t>
      </w:r>
    </w:p>
    <w:p w:rsidR="00B7257E" w:rsidRPr="00504C20" w:rsidRDefault="00B7257E" w:rsidP="004E5553">
      <w:pPr>
        <w:pStyle w:val="Num-DocParagraph"/>
        <w:spacing w:after="0"/>
        <w:jc w:val="left"/>
        <w:rPr>
          <w:color w:val="000000" w:themeColor="text1"/>
        </w:rPr>
      </w:pPr>
    </w:p>
    <w:p w:rsidR="00465E26" w:rsidRPr="00504C20" w:rsidRDefault="00465E26" w:rsidP="004E5553">
      <w:pPr>
        <w:pStyle w:val="Num-DocParagraph"/>
        <w:spacing w:after="0"/>
        <w:jc w:val="left"/>
        <w:rPr>
          <w:color w:val="000000" w:themeColor="text1"/>
        </w:rPr>
      </w:pPr>
      <w:r w:rsidRPr="00504C20">
        <w:rPr>
          <w:color w:val="000000" w:themeColor="text1"/>
        </w:rPr>
        <w:t xml:space="preserve">The restructuring of 2005 had </w:t>
      </w:r>
      <w:r w:rsidR="00D43D53" w:rsidRPr="00504C20">
        <w:rPr>
          <w:color w:val="000000" w:themeColor="text1"/>
        </w:rPr>
        <w:t xml:space="preserve">a clear impact on the employee profit-sharing scheme of the French subsidiary. Profit-sharing schemes are common in France and may represent a non-trivial part of workers’ income, particularly for large companies and </w:t>
      </w:r>
      <w:r w:rsidRPr="00504C20">
        <w:rPr>
          <w:color w:val="000000" w:themeColor="text1"/>
        </w:rPr>
        <w:t xml:space="preserve">for </w:t>
      </w:r>
      <w:r w:rsidR="00D43D53" w:rsidRPr="00504C20">
        <w:rPr>
          <w:color w:val="000000" w:themeColor="text1"/>
        </w:rPr>
        <w:t xml:space="preserve">subsidiaries of </w:t>
      </w:r>
      <w:r w:rsidRPr="00504C20">
        <w:rPr>
          <w:color w:val="000000" w:themeColor="text1"/>
        </w:rPr>
        <w:t xml:space="preserve">foreign </w:t>
      </w:r>
      <w:r w:rsidR="00D43D53" w:rsidRPr="00504C20">
        <w:rPr>
          <w:color w:val="000000" w:themeColor="text1"/>
        </w:rPr>
        <w:t xml:space="preserve">MNEs. The schemes are regulated by law, including </w:t>
      </w:r>
      <w:r w:rsidRPr="00504C20">
        <w:rPr>
          <w:color w:val="000000" w:themeColor="text1"/>
        </w:rPr>
        <w:t xml:space="preserve">with regard to the </w:t>
      </w:r>
      <w:r w:rsidR="00D43D53" w:rsidRPr="00504C20">
        <w:rPr>
          <w:color w:val="000000" w:themeColor="text1"/>
        </w:rPr>
        <w:t xml:space="preserve">formula for setting the share of profits </w:t>
      </w:r>
      <w:r w:rsidRPr="00504C20">
        <w:rPr>
          <w:color w:val="000000" w:themeColor="text1"/>
        </w:rPr>
        <w:t xml:space="preserve">to be </w:t>
      </w:r>
      <w:r w:rsidR="00D43D53" w:rsidRPr="00504C20">
        <w:rPr>
          <w:color w:val="000000" w:themeColor="text1"/>
        </w:rPr>
        <w:t xml:space="preserve">reallocated to workers. The formula is entirely dependent on the level of equity or capitalisation of the company: the higher the level of equity, the lower the share of profits being distributed to the employees. The restructuring plan resulted in excessive levels of capitalisation of the French subsidiaries considering their supposedly reduced exposure to market and operational risks. Combined with an overall decrease in profit levels, the share of profits redistributed to workers fell sharply after the restructuring. It is estimated that the net gains for the MNE were over €1m per year </w:t>
      </w:r>
      <w:r w:rsidR="003B229F" w:rsidRPr="00504C20">
        <w:rPr>
          <w:color w:val="000000" w:themeColor="text1"/>
        </w:rPr>
        <w:t xml:space="preserve">more </w:t>
      </w:r>
      <w:r w:rsidR="00D43D53" w:rsidRPr="00504C20">
        <w:rPr>
          <w:color w:val="000000" w:themeColor="text1"/>
        </w:rPr>
        <w:t>for 200</w:t>
      </w:r>
      <w:r w:rsidRPr="00504C20">
        <w:rPr>
          <w:color w:val="000000" w:themeColor="text1"/>
        </w:rPr>
        <w:t>6</w:t>
      </w:r>
      <w:r w:rsidR="00EC4E5F" w:rsidRPr="00504C20">
        <w:rPr>
          <w:color w:val="000000" w:themeColor="text1"/>
        </w:rPr>
        <w:t>-20</w:t>
      </w:r>
      <w:r w:rsidRPr="00504C20">
        <w:rPr>
          <w:color w:val="000000" w:themeColor="text1"/>
        </w:rPr>
        <w:t>12</w:t>
      </w:r>
      <w:r w:rsidR="00D43D53" w:rsidRPr="00504C20">
        <w:rPr>
          <w:color w:val="000000" w:themeColor="text1"/>
        </w:rPr>
        <w:t xml:space="preserve"> </w:t>
      </w:r>
      <w:r w:rsidR="003B229F" w:rsidRPr="00504C20">
        <w:rPr>
          <w:color w:val="000000" w:themeColor="text1"/>
        </w:rPr>
        <w:t>than in</w:t>
      </w:r>
      <w:r w:rsidR="00D43D53" w:rsidRPr="00504C20">
        <w:rPr>
          <w:color w:val="000000" w:themeColor="text1"/>
        </w:rPr>
        <w:t xml:space="preserve"> 2000-200</w:t>
      </w:r>
      <w:r w:rsidRPr="00504C20">
        <w:rPr>
          <w:color w:val="000000" w:themeColor="text1"/>
        </w:rPr>
        <w:t>5</w:t>
      </w:r>
      <w:r w:rsidR="00D43D53" w:rsidRPr="00504C20">
        <w:rPr>
          <w:color w:val="000000" w:themeColor="text1"/>
        </w:rPr>
        <w:t>.</w:t>
      </w:r>
    </w:p>
    <w:p w:rsidR="00504C20" w:rsidRPr="00504C20" w:rsidRDefault="00504C20" w:rsidP="004E5553">
      <w:pPr>
        <w:pStyle w:val="Num-DocParagraph"/>
        <w:spacing w:after="0"/>
        <w:jc w:val="left"/>
        <w:rPr>
          <w:color w:val="000000" w:themeColor="text1"/>
        </w:rPr>
      </w:pPr>
    </w:p>
    <w:p w:rsidR="00BF713B" w:rsidRPr="00504C20" w:rsidRDefault="00D43D53" w:rsidP="004E5553">
      <w:pPr>
        <w:pStyle w:val="Num-DocParagraph"/>
        <w:spacing w:after="0"/>
        <w:jc w:val="left"/>
        <w:rPr>
          <w:color w:val="000000" w:themeColor="text1"/>
        </w:rPr>
      </w:pPr>
      <w:r w:rsidRPr="00504C20">
        <w:rPr>
          <w:color w:val="000000" w:themeColor="text1"/>
        </w:rPr>
        <w:t xml:space="preserve">Workers’ rights to information and to representation </w:t>
      </w:r>
      <w:r w:rsidR="00FE1F3A">
        <w:rPr>
          <w:color w:val="000000" w:themeColor="text1"/>
        </w:rPr>
        <w:t>were also negatively</w:t>
      </w:r>
      <w:r w:rsidRPr="00504C20">
        <w:rPr>
          <w:color w:val="000000" w:themeColor="text1"/>
        </w:rPr>
        <w:t xml:space="preserve"> impacted. As a result of the </w:t>
      </w:r>
      <w:r w:rsidR="00FE1F3A">
        <w:rPr>
          <w:color w:val="000000" w:themeColor="text1"/>
        </w:rPr>
        <w:t xml:space="preserve">fragmentation and </w:t>
      </w:r>
      <w:r w:rsidRPr="00504C20">
        <w:rPr>
          <w:color w:val="000000" w:themeColor="text1"/>
        </w:rPr>
        <w:t>restructuring</w:t>
      </w:r>
      <w:r w:rsidR="00FE1F3A">
        <w:rPr>
          <w:color w:val="000000" w:themeColor="text1"/>
        </w:rPr>
        <w:t xml:space="preserve"> in 2005</w:t>
      </w:r>
      <w:r w:rsidRPr="00504C20">
        <w:rPr>
          <w:color w:val="000000" w:themeColor="text1"/>
        </w:rPr>
        <w:t>, the status of the French entities</w:t>
      </w:r>
      <w:r w:rsidR="007A65B4" w:rsidRPr="00504C20">
        <w:rPr>
          <w:color w:val="000000" w:themeColor="text1"/>
        </w:rPr>
        <w:t xml:space="preserve"> shifted from limited liability </w:t>
      </w:r>
      <w:proofErr w:type="gramStart"/>
      <w:r w:rsidRPr="00504C20">
        <w:rPr>
          <w:color w:val="000000" w:themeColor="text1"/>
        </w:rPr>
        <w:t>company</w:t>
      </w:r>
      <w:proofErr w:type="gramEnd"/>
      <w:r w:rsidRPr="00504C20">
        <w:rPr>
          <w:color w:val="000000" w:themeColor="text1"/>
        </w:rPr>
        <w:t xml:space="preserve"> (</w:t>
      </w:r>
      <w:proofErr w:type="spellStart"/>
      <w:r w:rsidRPr="00504C20">
        <w:rPr>
          <w:i/>
          <w:color w:val="000000" w:themeColor="text1"/>
        </w:rPr>
        <w:t>société</w:t>
      </w:r>
      <w:proofErr w:type="spellEnd"/>
      <w:r w:rsidRPr="00504C20">
        <w:rPr>
          <w:i/>
          <w:color w:val="000000" w:themeColor="text1"/>
        </w:rPr>
        <w:t xml:space="preserve"> </w:t>
      </w:r>
      <w:proofErr w:type="spellStart"/>
      <w:r w:rsidRPr="00504C20">
        <w:rPr>
          <w:i/>
          <w:color w:val="000000" w:themeColor="text1"/>
        </w:rPr>
        <w:t>anonyme</w:t>
      </w:r>
      <w:proofErr w:type="spellEnd"/>
      <w:r w:rsidRPr="00504C20">
        <w:rPr>
          <w:color w:val="000000" w:themeColor="text1"/>
        </w:rPr>
        <w:t>, S.A.) to “simplified” limited liability company (</w:t>
      </w:r>
      <w:proofErr w:type="spellStart"/>
      <w:r w:rsidRPr="00504C20">
        <w:rPr>
          <w:i/>
          <w:color w:val="000000" w:themeColor="text1"/>
        </w:rPr>
        <w:t>société</w:t>
      </w:r>
      <w:proofErr w:type="spellEnd"/>
      <w:r w:rsidRPr="00504C20">
        <w:rPr>
          <w:i/>
          <w:color w:val="000000" w:themeColor="text1"/>
        </w:rPr>
        <w:t xml:space="preserve"> </w:t>
      </w:r>
      <w:proofErr w:type="spellStart"/>
      <w:r w:rsidRPr="00504C20">
        <w:rPr>
          <w:i/>
          <w:color w:val="000000" w:themeColor="text1"/>
        </w:rPr>
        <w:t>anonyme</w:t>
      </w:r>
      <w:proofErr w:type="spellEnd"/>
      <w:r w:rsidRPr="00504C20">
        <w:rPr>
          <w:i/>
          <w:color w:val="000000" w:themeColor="text1"/>
        </w:rPr>
        <w:t xml:space="preserve"> </w:t>
      </w:r>
      <w:proofErr w:type="spellStart"/>
      <w:r w:rsidRPr="00504C20">
        <w:rPr>
          <w:i/>
          <w:color w:val="000000" w:themeColor="text1"/>
        </w:rPr>
        <w:t>simplifiée</w:t>
      </w:r>
      <w:proofErr w:type="spellEnd"/>
      <w:r w:rsidRPr="00504C20">
        <w:rPr>
          <w:color w:val="000000" w:themeColor="text1"/>
        </w:rPr>
        <w:t xml:space="preserve">, S.A.S.). The SAS status was introduced in French corporate law to meet the specific </w:t>
      </w:r>
      <w:r w:rsidR="00465E26" w:rsidRPr="00504C20">
        <w:rPr>
          <w:color w:val="000000" w:themeColor="text1"/>
        </w:rPr>
        <w:t>needs of</w:t>
      </w:r>
      <w:r w:rsidRPr="00504C20">
        <w:rPr>
          <w:color w:val="000000" w:themeColor="text1"/>
        </w:rPr>
        <w:t xml:space="preserve"> </w:t>
      </w:r>
      <w:r w:rsidR="00FE1F3A">
        <w:rPr>
          <w:color w:val="000000" w:themeColor="text1"/>
        </w:rPr>
        <w:t>small companies</w:t>
      </w:r>
      <w:r w:rsidR="00465E26" w:rsidRPr="00504C20">
        <w:rPr>
          <w:color w:val="000000" w:themeColor="text1"/>
        </w:rPr>
        <w:t>, not those of mid-size companies</w:t>
      </w:r>
      <w:r w:rsidR="00FE1F3A">
        <w:rPr>
          <w:color w:val="000000" w:themeColor="text1"/>
        </w:rPr>
        <w:t>. C</w:t>
      </w:r>
      <w:r w:rsidRPr="00504C20">
        <w:rPr>
          <w:color w:val="000000" w:themeColor="text1"/>
        </w:rPr>
        <w:t xml:space="preserve">ompared with the SA </w:t>
      </w:r>
      <w:r w:rsidR="00465E26" w:rsidRPr="00504C20">
        <w:rPr>
          <w:color w:val="000000" w:themeColor="text1"/>
        </w:rPr>
        <w:t xml:space="preserve">regime, the SAS </w:t>
      </w:r>
      <w:r w:rsidR="00FE1F3A">
        <w:rPr>
          <w:color w:val="000000" w:themeColor="text1"/>
        </w:rPr>
        <w:t xml:space="preserve">status </w:t>
      </w:r>
      <w:r w:rsidR="00465E26" w:rsidRPr="00504C20">
        <w:rPr>
          <w:color w:val="000000" w:themeColor="text1"/>
        </w:rPr>
        <w:t xml:space="preserve">offers </w:t>
      </w:r>
      <w:r w:rsidR="00BF713B" w:rsidRPr="00504C20">
        <w:rPr>
          <w:color w:val="000000" w:themeColor="text1"/>
        </w:rPr>
        <w:t xml:space="preserve">much </w:t>
      </w:r>
      <w:r w:rsidR="00465E26" w:rsidRPr="00504C20">
        <w:rPr>
          <w:color w:val="000000" w:themeColor="text1"/>
        </w:rPr>
        <w:t xml:space="preserve">lower levels of </w:t>
      </w:r>
      <w:r w:rsidRPr="00504C20">
        <w:rPr>
          <w:color w:val="000000" w:themeColor="text1"/>
        </w:rPr>
        <w:t xml:space="preserve">worker </w:t>
      </w:r>
      <w:r w:rsidR="00465E26" w:rsidRPr="00504C20">
        <w:rPr>
          <w:color w:val="000000" w:themeColor="text1"/>
        </w:rPr>
        <w:t xml:space="preserve">rights to </w:t>
      </w:r>
      <w:r w:rsidRPr="00504C20">
        <w:rPr>
          <w:color w:val="000000" w:themeColor="text1"/>
        </w:rPr>
        <w:t>representation and information.</w:t>
      </w:r>
      <w:r w:rsidR="00BF713B" w:rsidRPr="00504C20">
        <w:rPr>
          <w:color w:val="000000" w:themeColor="text1"/>
        </w:rPr>
        <w:t xml:space="preserve"> </w:t>
      </w:r>
      <w:r w:rsidRPr="00504C20">
        <w:rPr>
          <w:color w:val="000000" w:themeColor="text1"/>
        </w:rPr>
        <w:t xml:space="preserve">The fragmentation of the French subsidiary into </w:t>
      </w:r>
      <w:r w:rsidR="00BF713B" w:rsidRPr="00504C20">
        <w:rPr>
          <w:color w:val="000000" w:themeColor="text1"/>
        </w:rPr>
        <w:t xml:space="preserve">a plurality of small </w:t>
      </w:r>
      <w:r w:rsidRPr="00504C20">
        <w:rPr>
          <w:color w:val="000000" w:themeColor="text1"/>
        </w:rPr>
        <w:t xml:space="preserve">entities led to </w:t>
      </w:r>
      <w:r w:rsidR="00BF713B" w:rsidRPr="00504C20">
        <w:rPr>
          <w:color w:val="000000" w:themeColor="text1"/>
        </w:rPr>
        <w:t xml:space="preserve">a </w:t>
      </w:r>
      <w:r w:rsidRPr="00504C20">
        <w:rPr>
          <w:color w:val="000000" w:themeColor="text1"/>
        </w:rPr>
        <w:t xml:space="preserve">considerable loss of information and of rights to consultation for </w:t>
      </w:r>
      <w:r w:rsidR="00BF713B" w:rsidRPr="00504C20">
        <w:rPr>
          <w:color w:val="000000" w:themeColor="text1"/>
        </w:rPr>
        <w:t>workers of CP France</w:t>
      </w:r>
      <w:r w:rsidRPr="00504C20">
        <w:rPr>
          <w:color w:val="000000" w:themeColor="text1"/>
        </w:rPr>
        <w:t xml:space="preserve">, and thereby to </w:t>
      </w:r>
      <w:r w:rsidR="00FE1F3A">
        <w:rPr>
          <w:color w:val="000000" w:themeColor="text1"/>
        </w:rPr>
        <w:t xml:space="preserve">a net </w:t>
      </w:r>
      <w:r w:rsidRPr="00504C20">
        <w:rPr>
          <w:color w:val="000000" w:themeColor="text1"/>
        </w:rPr>
        <w:t>loss of bargaining power</w:t>
      </w:r>
      <w:r w:rsidR="00BF713B" w:rsidRPr="00504C20">
        <w:rPr>
          <w:color w:val="000000" w:themeColor="text1"/>
        </w:rPr>
        <w:t xml:space="preserve"> of their representative institutions (works councils and trade unions)</w:t>
      </w:r>
      <w:r w:rsidRPr="00504C20">
        <w:rPr>
          <w:color w:val="000000" w:themeColor="text1"/>
        </w:rPr>
        <w:t>.</w:t>
      </w:r>
    </w:p>
    <w:p w:rsidR="00BF713B" w:rsidRPr="00504C20" w:rsidRDefault="00BF713B" w:rsidP="004E5553">
      <w:pPr>
        <w:pStyle w:val="Num-DocParagraph"/>
        <w:spacing w:after="0"/>
        <w:jc w:val="left"/>
        <w:rPr>
          <w:color w:val="000000" w:themeColor="text1"/>
        </w:rPr>
      </w:pPr>
    </w:p>
    <w:p w:rsidR="00D43D53" w:rsidRPr="00504C20" w:rsidRDefault="00D43D53" w:rsidP="004E5553">
      <w:pPr>
        <w:pStyle w:val="Num-DocParagraph"/>
        <w:spacing w:after="0"/>
        <w:jc w:val="left"/>
        <w:rPr>
          <w:color w:val="000000" w:themeColor="text1"/>
        </w:rPr>
      </w:pPr>
      <w:r w:rsidRPr="00504C20">
        <w:rPr>
          <w:color w:val="000000" w:themeColor="text1"/>
        </w:rPr>
        <w:t xml:space="preserve">It also led to a downgrading of the quality of the collective </w:t>
      </w:r>
      <w:r w:rsidR="00FE1F3A">
        <w:rPr>
          <w:color w:val="000000" w:themeColor="text1"/>
        </w:rPr>
        <w:t xml:space="preserve">bargaining </w:t>
      </w:r>
      <w:r w:rsidRPr="00504C20">
        <w:rPr>
          <w:color w:val="000000" w:themeColor="text1"/>
        </w:rPr>
        <w:t>agreement covering the workers. In France</w:t>
      </w:r>
      <w:r w:rsidR="00FE1F3A">
        <w:rPr>
          <w:color w:val="000000" w:themeColor="text1"/>
        </w:rPr>
        <w:t>,</w:t>
      </w:r>
      <w:r w:rsidRPr="00504C20">
        <w:rPr>
          <w:color w:val="000000" w:themeColor="text1"/>
        </w:rPr>
        <w:t xml:space="preserve"> </w:t>
      </w:r>
      <w:r w:rsidR="00FE1F3A">
        <w:rPr>
          <w:color w:val="000000" w:themeColor="text1"/>
        </w:rPr>
        <w:t>all w</w:t>
      </w:r>
      <w:r w:rsidRPr="00504C20">
        <w:rPr>
          <w:color w:val="000000" w:themeColor="text1"/>
        </w:rPr>
        <w:t xml:space="preserve">orkers </w:t>
      </w:r>
      <w:r w:rsidR="00FE1F3A">
        <w:rPr>
          <w:color w:val="000000" w:themeColor="text1"/>
        </w:rPr>
        <w:t xml:space="preserve">(whether they are unionised or not) </w:t>
      </w:r>
      <w:r w:rsidRPr="00504C20">
        <w:rPr>
          <w:color w:val="000000" w:themeColor="text1"/>
        </w:rPr>
        <w:t xml:space="preserve">are covered by </w:t>
      </w:r>
      <w:r w:rsidR="00FE1F3A">
        <w:rPr>
          <w:color w:val="000000" w:themeColor="text1"/>
        </w:rPr>
        <w:t>a</w:t>
      </w:r>
      <w:r w:rsidRPr="00504C20">
        <w:rPr>
          <w:color w:val="000000" w:themeColor="text1"/>
        </w:rPr>
        <w:t xml:space="preserve"> collective agreement of the sector of activities under which the employer is registered. As a result of the </w:t>
      </w:r>
      <w:r w:rsidRPr="00504C20">
        <w:rPr>
          <w:color w:val="000000" w:themeColor="text1"/>
        </w:rPr>
        <w:lastRenderedPageBreak/>
        <w:t xml:space="preserve">shift from SA to SAS status and from primary contractor to sub-contractor roles, the French entities were registered under a different sector of activity covered by a collective agreement that had lower provisions and </w:t>
      </w:r>
      <w:r w:rsidR="00FE1F3A">
        <w:rPr>
          <w:color w:val="000000" w:themeColor="text1"/>
        </w:rPr>
        <w:t xml:space="preserve">lower </w:t>
      </w:r>
      <w:r w:rsidRPr="00504C20">
        <w:rPr>
          <w:color w:val="000000" w:themeColor="text1"/>
        </w:rPr>
        <w:t>benefits than the one that prevailed prior to the restructuring.</w:t>
      </w:r>
    </w:p>
    <w:p w:rsidR="00D43D53" w:rsidRPr="00504C20" w:rsidRDefault="00D43D53" w:rsidP="004E5553">
      <w:pPr>
        <w:pStyle w:val="Num-DocParagraph"/>
        <w:spacing w:after="0"/>
        <w:jc w:val="left"/>
        <w:rPr>
          <w:color w:val="000000" w:themeColor="text1"/>
        </w:rPr>
      </w:pPr>
    </w:p>
    <w:p w:rsidR="00D43D53" w:rsidRPr="00504C20" w:rsidRDefault="00D43D53" w:rsidP="004A539A">
      <w:pPr>
        <w:pStyle w:val="Num-DocParagraph"/>
        <w:jc w:val="left"/>
        <w:rPr>
          <w:color w:val="000000" w:themeColor="text1"/>
        </w:rPr>
      </w:pPr>
      <w:r w:rsidRPr="00504C20">
        <w:rPr>
          <w:color w:val="000000" w:themeColor="text1"/>
        </w:rPr>
        <w:t>Overall, the quality of social dialogue deteriorated fast following the restructuring, to the point where it can</w:t>
      </w:r>
      <w:r w:rsidR="00FE1F3A">
        <w:rPr>
          <w:color w:val="000000" w:themeColor="text1"/>
        </w:rPr>
        <w:t xml:space="preserve"> now</w:t>
      </w:r>
      <w:r w:rsidRPr="00504C20">
        <w:rPr>
          <w:color w:val="000000" w:themeColor="text1"/>
        </w:rPr>
        <w:t xml:space="preserve"> be considered as close to non-existent. </w:t>
      </w:r>
      <w:r w:rsidR="00FE1F3A">
        <w:rPr>
          <w:color w:val="000000" w:themeColor="text1"/>
        </w:rPr>
        <w:t>According to trade union representatives, t</w:t>
      </w:r>
      <w:r w:rsidRPr="00504C20">
        <w:rPr>
          <w:color w:val="000000" w:themeColor="text1"/>
        </w:rPr>
        <w:t xml:space="preserve">he </w:t>
      </w:r>
      <w:r w:rsidR="00FE1F3A">
        <w:rPr>
          <w:color w:val="000000" w:themeColor="text1"/>
        </w:rPr>
        <w:t xml:space="preserve">company’s </w:t>
      </w:r>
      <w:r w:rsidRPr="00504C20">
        <w:rPr>
          <w:color w:val="000000" w:themeColor="text1"/>
        </w:rPr>
        <w:t xml:space="preserve">human resource </w:t>
      </w:r>
      <w:r w:rsidR="00FE1F3A">
        <w:rPr>
          <w:color w:val="000000" w:themeColor="text1"/>
        </w:rPr>
        <w:t xml:space="preserve">policy </w:t>
      </w:r>
      <w:r w:rsidRPr="00504C20">
        <w:rPr>
          <w:color w:val="000000" w:themeColor="text1"/>
        </w:rPr>
        <w:t>has shifted to a situation of “permanent redundancy planning”. A works council representative summed up the situation:</w:t>
      </w:r>
      <w:r w:rsidR="004A539A" w:rsidRPr="00504C20">
        <w:rPr>
          <w:color w:val="000000" w:themeColor="text1"/>
        </w:rPr>
        <w:t xml:space="preserve"> </w:t>
      </w:r>
      <w:r w:rsidR="00106BB0" w:rsidRPr="00504C20">
        <w:rPr>
          <w:color w:val="000000" w:themeColor="text1"/>
        </w:rPr>
        <w:t>“</w:t>
      </w:r>
      <w:r w:rsidR="004A539A" w:rsidRPr="00504C20">
        <w:rPr>
          <w:color w:val="000000" w:themeColor="text1"/>
        </w:rPr>
        <w:t>the farther you are from where tax is being declared within the MNE group structure, the higher the risk for worker misery”</w:t>
      </w:r>
      <w:r w:rsidRPr="00504C20">
        <w:rPr>
          <w:color w:val="000000" w:themeColor="text1"/>
        </w:rPr>
        <w:t xml:space="preserve">. The unions have attempted to bring attention to the aggressive tax planning scheme of </w:t>
      </w:r>
      <w:r w:rsidR="00FE1F3A">
        <w:rPr>
          <w:color w:val="000000" w:themeColor="text1"/>
        </w:rPr>
        <w:t>CP Global</w:t>
      </w:r>
      <w:r w:rsidRPr="00504C20">
        <w:rPr>
          <w:color w:val="000000" w:themeColor="text1"/>
        </w:rPr>
        <w:t xml:space="preserve"> before the French parliament – including calling for an official inquiry.</w:t>
      </w:r>
    </w:p>
    <w:p w:rsidR="00BF713B" w:rsidRPr="00504C20" w:rsidRDefault="00FE1F3A" w:rsidP="004E5553">
      <w:pPr>
        <w:pStyle w:val="Num-DocParagraph"/>
        <w:spacing w:after="0"/>
        <w:jc w:val="left"/>
        <w:rPr>
          <w:color w:val="000000" w:themeColor="text1"/>
        </w:rPr>
      </w:pPr>
      <w:r>
        <w:rPr>
          <w:color w:val="000000" w:themeColor="text1"/>
        </w:rPr>
        <w:t>I</w:t>
      </w:r>
      <w:r w:rsidR="00BF713B" w:rsidRPr="00504C20">
        <w:rPr>
          <w:color w:val="000000" w:themeColor="text1"/>
        </w:rPr>
        <w:t xml:space="preserve">n 2012 CP Global generated USD17bn in net sales and USD2.5bn in net income. That year, CP Global spent USD3.2bn in dividends and share buybacks, USD865m in investing activities and USD1.3bn in payment of income taxes. From 2006 to 2009, net income / net sales ratio grew from 11.1% to 14.9% globally and </w:t>
      </w:r>
      <w:proofErr w:type="gramStart"/>
      <w:r w:rsidR="00BF713B" w:rsidRPr="00504C20">
        <w:rPr>
          <w:color w:val="000000" w:themeColor="text1"/>
        </w:rPr>
        <w:t>has</w:t>
      </w:r>
      <w:proofErr w:type="gramEnd"/>
      <w:r w:rsidR="00BF713B" w:rsidRPr="00504C20">
        <w:rPr>
          <w:color w:val="000000" w:themeColor="text1"/>
        </w:rPr>
        <w:t xml:space="preserve"> remained stable at 14.5% since then. The number of workers employed by CP globally has grown by a mere 3% between 2003 and 2012.</w:t>
      </w:r>
    </w:p>
    <w:sectPr w:rsidR="00BF713B" w:rsidRPr="00504C20" w:rsidSect="00FE7F1C">
      <w:headerReference w:type="even" r:id="rId11"/>
      <w:footerReference w:type="default" r:id="rId12"/>
      <w:headerReference w:type="first" r:id="rId13"/>
      <w:footerReference w:type="first" r:id="rId14"/>
      <w:pgSz w:w="11907" w:h="16840" w:code="9"/>
      <w:pgMar w:top="1008" w:right="1411" w:bottom="1008" w:left="1411" w:header="720" w:footer="56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EA0" w:rsidRDefault="00BA7EA0">
      <w:r>
        <w:separator/>
      </w:r>
    </w:p>
  </w:endnote>
  <w:endnote w:type="continuationSeparator" w:id="0">
    <w:p w:rsidR="00BA7EA0" w:rsidRDefault="00BA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30" w:rsidRPr="00433346" w:rsidRDefault="00CE5730" w:rsidP="00433346">
    <w:pPr>
      <w:pStyle w:val="Footer"/>
      <w:jc w:val="right"/>
      <w:rPr>
        <w:i/>
        <w:sz w:val="20"/>
      </w:rPr>
    </w:pPr>
    <w:r w:rsidRPr="00433346">
      <w:rPr>
        <w:rStyle w:val="PageNumber"/>
        <w:i/>
        <w:sz w:val="20"/>
      </w:rPr>
      <w:fldChar w:fldCharType="begin"/>
    </w:r>
    <w:r w:rsidRPr="00433346">
      <w:rPr>
        <w:rStyle w:val="PageNumber"/>
        <w:i/>
        <w:sz w:val="20"/>
      </w:rPr>
      <w:instrText xml:space="preserve"> PAGE </w:instrText>
    </w:r>
    <w:r w:rsidRPr="00433346">
      <w:rPr>
        <w:rStyle w:val="PageNumber"/>
        <w:i/>
        <w:sz w:val="20"/>
      </w:rPr>
      <w:fldChar w:fldCharType="separate"/>
    </w:r>
    <w:r w:rsidR="0034034A">
      <w:rPr>
        <w:rStyle w:val="PageNumber"/>
        <w:i/>
        <w:noProof/>
        <w:sz w:val="20"/>
      </w:rPr>
      <w:t>2</w:t>
    </w:r>
    <w:r w:rsidRPr="00433346">
      <w:rPr>
        <w:rStyle w:val="PageNumber"/>
        <w:i/>
        <w:sz w:val="20"/>
      </w:rPr>
      <w:fldChar w:fldCharType="end"/>
    </w:r>
    <w:r w:rsidRPr="00433346">
      <w:rPr>
        <w:rStyle w:val="PageNumber"/>
        <w:i/>
        <w:sz w:val="20"/>
      </w:rPr>
      <w:t>/</w:t>
    </w:r>
    <w:r w:rsidRPr="00433346">
      <w:rPr>
        <w:rStyle w:val="PageNumber"/>
        <w:i/>
        <w:sz w:val="20"/>
      </w:rPr>
      <w:fldChar w:fldCharType="begin"/>
    </w:r>
    <w:r w:rsidRPr="00433346">
      <w:rPr>
        <w:rStyle w:val="PageNumber"/>
        <w:i/>
        <w:sz w:val="20"/>
      </w:rPr>
      <w:instrText xml:space="preserve"> NUMPAGES </w:instrText>
    </w:r>
    <w:r w:rsidRPr="00433346">
      <w:rPr>
        <w:rStyle w:val="PageNumber"/>
        <w:i/>
        <w:sz w:val="20"/>
      </w:rPr>
      <w:fldChar w:fldCharType="separate"/>
    </w:r>
    <w:r w:rsidR="0034034A">
      <w:rPr>
        <w:rStyle w:val="PageNumber"/>
        <w:i/>
        <w:noProof/>
        <w:sz w:val="20"/>
      </w:rPr>
      <w:t>6</w:t>
    </w:r>
    <w:r w:rsidRPr="00433346">
      <w:rPr>
        <w:rStyle w:val="PageNumbe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30" w:rsidRDefault="00CE5730" w:rsidP="00E901E1">
    <w:pPr>
      <w:pStyle w:val="Footer"/>
      <w:tabs>
        <w:tab w:val="clear" w:pos="8306"/>
      </w:tabs>
      <w:rPr>
        <w:lang w:val="fr-FR"/>
      </w:rPr>
    </w:pPr>
  </w:p>
  <w:p w:rsidR="00CE5730" w:rsidRPr="00E901E1" w:rsidRDefault="00C7039E" w:rsidP="00E901E1">
    <w:pPr>
      <w:pStyle w:val="Footer"/>
      <w:tabs>
        <w:tab w:val="clear" w:pos="8306"/>
      </w:tabs>
      <w:rPr>
        <w:lang w:val="fr-FR"/>
      </w:rPr>
    </w:pPr>
    <w:r>
      <w:rPr>
        <w:noProof/>
        <w:lang w:eastAsia="en-GB"/>
      </w:rPr>
      <w:drawing>
        <wp:inline distT="0" distB="0" distL="0" distR="0" wp14:anchorId="3C42AB04" wp14:editId="64A79A88">
          <wp:extent cx="4591050" cy="438150"/>
          <wp:effectExtent l="0" t="0" r="0" b="0"/>
          <wp:docPr id="6" name="Picture 6" descr="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105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EA0" w:rsidRDefault="00BA7EA0">
      <w:r>
        <w:separator/>
      </w:r>
    </w:p>
  </w:footnote>
  <w:footnote w:type="continuationSeparator" w:id="0">
    <w:p w:rsidR="00BA7EA0" w:rsidRDefault="00BA7EA0">
      <w:r>
        <w:continuationSeparator/>
      </w:r>
    </w:p>
  </w:footnote>
  <w:footnote w:id="1">
    <w:p w:rsidR="004E5553" w:rsidRPr="004E5553" w:rsidRDefault="004E5553">
      <w:pPr>
        <w:pStyle w:val="FootnoteText"/>
      </w:pPr>
      <w:r>
        <w:rPr>
          <w:rStyle w:val="FootnoteReference"/>
        </w:rPr>
        <w:footnoteRef/>
      </w:r>
      <w:r>
        <w:t xml:space="preserve"> </w:t>
      </w:r>
      <w:r w:rsidRPr="004E5553">
        <w:t>CP Global also submitted a comparability analysis which showed that its transfer pricing policy between the French and Swiss entities was indeed within the range of its competitors. It was however located in the lowest quartile of remuneration – while the exposure of the French entities to risk was located in higher quartiles. The French subsidiaries were remunerated at the lowest levels compared to its exposure to operational risk in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30" w:rsidRDefault="00CE573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9F7">
      <w:rPr>
        <w:rStyle w:val="PageNumber"/>
        <w:noProof/>
      </w:rPr>
      <w:t>6</w:t>
    </w:r>
    <w:r>
      <w:rPr>
        <w:rStyle w:val="PageNumber"/>
      </w:rPr>
      <w:fldChar w:fldCharType="end"/>
    </w:r>
  </w:p>
  <w:p w:rsidR="00CE5730" w:rsidRDefault="00CE5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30" w:rsidRPr="00172B78" w:rsidRDefault="00C7039E" w:rsidP="00E901E1">
    <w:pPr>
      <w:pStyle w:val="Header"/>
      <w:tabs>
        <w:tab w:val="clear" w:pos="8306"/>
      </w:tabs>
    </w:pPr>
    <w:r>
      <w:rPr>
        <w:noProof/>
        <w:lang w:eastAsia="en-GB"/>
      </w:rPr>
      <w:drawing>
        <wp:inline distT="0" distB="0" distL="0" distR="0" wp14:anchorId="388ADE69" wp14:editId="42832581">
          <wp:extent cx="3476625" cy="990600"/>
          <wp:effectExtent l="0" t="0" r="0" b="0"/>
          <wp:docPr id="5" name="Picture 5" descr="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10F8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5597A"/>
    <w:multiLevelType w:val="hybridMultilevel"/>
    <w:tmpl w:val="E4A04A86"/>
    <w:lvl w:ilvl="0" w:tplc="FAF8AAE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364CAF"/>
    <w:multiLevelType w:val="hybridMultilevel"/>
    <w:tmpl w:val="39CC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4747AE"/>
    <w:multiLevelType w:val="hybridMultilevel"/>
    <w:tmpl w:val="DF344D82"/>
    <w:lvl w:ilvl="0" w:tplc="CD6897F2">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62726A9"/>
    <w:multiLevelType w:val="hybridMultilevel"/>
    <w:tmpl w:val="B380DD5A"/>
    <w:lvl w:ilvl="0" w:tplc="FAF8AAE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6">
    <w:nsid w:val="0CBB165E"/>
    <w:multiLevelType w:val="hybridMultilevel"/>
    <w:tmpl w:val="B3C8ACA0"/>
    <w:lvl w:ilvl="0" w:tplc="FAF8AAE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4327A3B"/>
    <w:multiLevelType w:val="hybridMultilevel"/>
    <w:tmpl w:val="1C9A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874DD"/>
    <w:multiLevelType w:val="hybridMultilevel"/>
    <w:tmpl w:val="080A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41160A"/>
    <w:multiLevelType w:val="hybridMultilevel"/>
    <w:tmpl w:val="82405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C0902"/>
    <w:multiLevelType w:val="hybridMultilevel"/>
    <w:tmpl w:val="60E24344"/>
    <w:lvl w:ilvl="0" w:tplc="685A9E38">
      <w:numFmt w:val="bullet"/>
      <w:lvlText w:val="•"/>
      <w:lvlJc w:val="left"/>
      <w:pPr>
        <w:ind w:left="1215" w:hanging="85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414DC"/>
    <w:multiLevelType w:val="hybridMultilevel"/>
    <w:tmpl w:val="FFC4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F63375"/>
    <w:multiLevelType w:val="hybridMultilevel"/>
    <w:tmpl w:val="BBA2DCDC"/>
    <w:lvl w:ilvl="0" w:tplc="FAF8AAE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E3A04DE"/>
    <w:multiLevelType w:val="hybridMultilevel"/>
    <w:tmpl w:val="8CDE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473794"/>
    <w:multiLevelType w:val="hybridMultilevel"/>
    <w:tmpl w:val="A92EECC2"/>
    <w:lvl w:ilvl="0" w:tplc="FAF8AAEA">
      <w:start w:val="1"/>
      <w:numFmt w:val="bullet"/>
      <w:lvlText w:val=""/>
      <w:lvlJc w:val="left"/>
      <w:pPr>
        <w:tabs>
          <w:tab w:val="num" w:pos="360"/>
        </w:tabs>
        <w:ind w:left="360" w:hanging="360"/>
      </w:pPr>
      <w:rPr>
        <w:rFonts w:ascii="Symbol" w:hAnsi="Symbol" w:hint="default"/>
        <w:sz w:val="16"/>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40A258A0"/>
    <w:multiLevelType w:val="hybridMultilevel"/>
    <w:tmpl w:val="7588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670B96"/>
    <w:multiLevelType w:val="hybridMultilevel"/>
    <w:tmpl w:val="B28E9166"/>
    <w:lvl w:ilvl="0" w:tplc="5C70BB0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E803886"/>
    <w:multiLevelType w:val="hybridMultilevel"/>
    <w:tmpl w:val="BDB68F90"/>
    <w:lvl w:ilvl="0" w:tplc="4E604D64">
      <w:numFmt w:val="bullet"/>
      <w:lvlText w:val="-"/>
      <w:lvlJc w:val="left"/>
      <w:pPr>
        <w:tabs>
          <w:tab w:val="num" w:pos="432"/>
        </w:tabs>
        <w:ind w:left="432" w:hanging="216"/>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0982B39"/>
    <w:multiLevelType w:val="hybridMultilevel"/>
    <w:tmpl w:val="A8CE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96F55"/>
    <w:multiLevelType w:val="hybridMultilevel"/>
    <w:tmpl w:val="9C92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F30A5F"/>
    <w:multiLevelType w:val="hybridMultilevel"/>
    <w:tmpl w:val="1948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943CF"/>
    <w:multiLevelType w:val="hybridMultilevel"/>
    <w:tmpl w:val="1C321A90"/>
    <w:lvl w:ilvl="0" w:tplc="FAF8AAE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76A4EE0"/>
    <w:multiLevelType w:val="hybridMultilevel"/>
    <w:tmpl w:val="7DDCF138"/>
    <w:lvl w:ilvl="0" w:tplc="FAF8AAE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A177A59"/>
    <w:multiLevelType w:val="hybridMultilevel"/>
    <w:tmpl w:val="FDD2154E"/>
    <w:lvl w:ilvl="0" w:tplc="FAF8AAE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A7034BB"/>
    <w:multiLevelType w:val="hybridMultilevel"/>
    <w:tmpl w:val="4EA0C168"/>
    <w:lvl w:ilvl="0" w:tplc="FAF8AAE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F3B233F"/>
    <w:multiLevelType w:val="hybridMultilevel"/>
    <w:tmpl w:val="C780FA80"/>
    <w:lvl w:ilvl="0" w:tplc="FAF8AAE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C6F36FD"/>
    <w:multiLevelType w:val="hybridMultilevel"/>
    <w:tmpl w:val="378AF628"/>
    <w:lvl w:ilvl="0" w:tplc="FAF8AAE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FBD7DFA"/>
    <w:multiLevelType w:val="hybridMultilevel"/>
    <w:tmpl w:val="447E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6E57BA"/>
    <w:multiLevelType w:val="hybridMultilevel"/>
    <w:tmpl w:val="748CAB9C"/>
    <w:lvl w:ilvl="0" w:tplc="FAF8AAEA">
      <w:start w:val="1"/>
      <w:numFmt w:val="bullet"/>
      <w:lvlText w:val=""/>
      <w:lvlJc w:val="left"/>
      <w:pPr>
        <w:tabs>
          <w:tab w:val="num" w:pos="360"/>
        </w:tabs>
        <w:ind w:left="360" w:hanging="360"/>
      </w:pPr>
      <w:rPr>
        <w:rFonts w:ascii="Symbol" w:hAnsi="Symbol" w:hint="default"/>
        <w:sz w:val="16"/>
      </w:rPr>
    </w:lvl>
    <w:lvl w:ilvl="1" w:tplc="4E604D64">
      <w:numFmt w:val="bullet"/>
      <w:lvlText w:val="-"/>
      <w:lvlJc w:val="left"/>
      <w:pPr>
        <w:tabs>
          <w:tab w:val="num" w:pos="1296"/>
        </w:tabs>
        <w:ind w:left="1296" w:hanging="216"/>
      </w:pPr>
      <w:rPr>
        <w:rFonts w:ascii="Times New Roman" w:eastAsia="Times New Roman" w:hAnsi="Times New Roman"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7EB3309"/>
    <w:multiLevelType w:val="hybridMultilevel"/>
    <w:tmpl w:val="439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3"/>
  </w:num>
  <w:num w:numId="4">
    <w:abstractNumId w:val="25"/>
  </w:num>
  <w:num w:numId="5">
    <w:abstractNumId w:val="22"/>
  </w:num>
  <w:num w:numId="6">
    <w:abstractNumId w:val="12"/>
  </w:num>
  <w:num w:numId="7">
    <w:abstractNumId w:val="16"/>
  </w:num>
  <w:num w:numId="8">
    <w:abstractNumId w:val="14"/>
  </w:num>
  <w:num w:numId="9">
    <w:abstractNumId w:val="3"/>
  </w:num>
  <w:num w:numId="10">
    <w:abstractNumId w:val="24"/>
  </w:num>
  <w:num w:numId="11">
    <w:abstractNumId w:val="6"/>
  </w:num>
  <w:num w:numId="12">
    <w:abstractNumId w:val="26"/>
  </w:num>
  <w:num w:numId="13">
    <w:abstractNumId w:val="21"/>
  </w:num>
  <w:num w:numId="14">
    <w:abstractNumId w:val="28"/>
  </w:num>
  <w:num w:numId="15">
    <w:abstractNumId w:val="17"/>
  </w:num>
  <w:num w:numId="16">
    <w:abstractNumId w:val="0"/>
  </w:num>
  <w:num w:numId="17">
    <w:abstractNumId w:val="5"/>
  </w:num>
  <w:num w:numId="18">
    <w:abstractNumId w:val="20"/>
  </w:num>
  <w:num w:numId="19">
    <w:abstractNumId w:val="13"/>
  </w:num>
  <w:num w:numId="20">
    <w:abstractNumId w:val="2"/>
  </w:num>
  <w:num w:numId="21">
    <w:abstractNumId w:val="10"/>
  </w:num>
  <w:num w:numId="22">
    <w:abstractNumId w:val="11"/>
  </w:num>
  <w:num w:numId="23">
    <w:abstractNumId w:val="18"/>
  </w:num>
  <w:num w:numId="24">
    <w:abstractNumId w:val="9"/>
  </w:num>
  <w:num w:numId="25">
    <w:abstractNumId w:val="29"/>
  </w:num>
  <w:num w:numId="26">
    <w:abstractNumId w:val="7"/>
  </w:num>
  <w:num w:numId="27">
    <w:abstractNumId w:val="19"/>
  </w:num>
  <w:num w:numId="28">
    <w:abstractNumId w:val="15"/>
  </w:num>
  <w:num w:numId="29">
    <w:abstractNumId w:val="2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106B"/>
    <w:rsid w:val="00001A35"/>
    <w:rsid w:val="00001DB9"/>
    <w:rsid w:val="0000437A"/>
    <w:rsid w:val="00004AFE"/>
    <w:rsid w:val="0001090B"/>
    <w:rsid w:val="000116BD"/>
    <w:rsid w:val="00015C9C"/>
    <w:rsid w:val="00026A90"/>
    <w:rsid w:val="000277D9"/>
    <w:rsid w:val="000359BB"/>
    <w:rsid w:val="00042145"/>
    <w:rsid w:val="00042F3B"/>
    <w:rsid w:val="00043C4F"/>
    <w:rsid w:val="000456D4"/>
    <w:rsid w:val="00054669"/>
    <w:rsid w:val="00056D35"/>
    <w:rsid w:val="00056DC9"/>
    <w:rsid w:val="00056FA0"/>
    <w:rsid w:val="00060A58"/>
    <w:rsid w:val="00062329"/>
    <w:rsid w:val="00062395"/>
    <w:rsid w:val="00064BEE"/>
    <w:rsid w:val="00064C70"/>
    <w:rsid w:val="00065B79"/>
    <w:rsid w:val="000716AA"/>
    <w:rsid w:val="00074397"/>
    <w:rsid w:val="0007526F"/>
    <w:rsid w:val="0008096F"/>
    <w:rsid w:val="00081222"/>
    <w:rsid w:val="00081293"/>
    <w:rsid w:val="00084CD7"/>
    <w:rsid w:val="000854C8"/>
    <w:rsid w:val="0008650A"/>
    <w:rsid w:val="00091100"/>
    <w:rsid w:val="000A1498"/>
    <w:rsid w:val="000A23A2"/>
    <w:rsid w:val="000A4026"/>
    <w:rsid w:val="000B0F23"/>
    <w:rsid w:val="000B134D"/>
    <w:rsid w:val="000B17BA"/>
    <w:rsid w:val="000B3FFB"/>
    <w:rsid w:val="000B44EA"/>
    <w:rsid w:val="000B49E7"/>
    <w:rsid w:val="000B665C"/>
    <w:rsid w:val="000B7DB3"/>
    <w:rsid w:val="000C1227"/>
    <w:rsid w:val="000C5089"/>
    <w:rsid w:val="000C54D4"/>
    <w:rsid w:val="000C6521"/>
    <w:rsid w:val="000C6A47"/>
    <w:rsid w:val="000D2CC0"/>
    <w:rsid w:val="000D3904"/>
    <w:rsid w:val="000D3FE4"/>
    <w:rsid w:val="000D4B2F"/>
    <w:rsid w:val="000D6ABC"/>
    <w:rsid w:val="000D759D"/>
    <w:rsid w:val="000E4192"/>
    <w:rsid w:val="000E58B0"/>
    <w:rsid w:val="000E7F84"/>
    <w:rsid w:val="000F167F"/>
    <w:rsid w:val="000F4D8F"/>
    <w:rsid w:val="001000AE"/>
    <w:rsid w:val="00100D3F"/>
    <w:rsid w:val="001048F0"/>
    <w:rsid w:val="00104C8F"/>
    <w:rsid w:val="001058C2"/>
    <w:rsid w:val="00106BB0"/>
    <w:rsid w:val="0011084F"/>
    <w:rsid w:val="001148C9"/>
    <w:rsid w:val="00115ECE"/>
    <w:rsid w:val="00120869"/>
    <w:rsid w:val="001210E0"/>
    <w:rsid w:val="00121A6E"/>
    <w:rsid w:val="00121C57"/>
    <w:rsid w:val="00121F7A"/>
    <w:rsid w:val="00122707"/>
    <w:rsid w:val="00122F03"/>
    <w:rsid w:val="00124276"/>
    <w:rsid w:val="00130830"/>
    <w:rsid w:val="001312C6"/>
    <w:rsid w:val="00131FF1"/>
    <w:rsid w:val="00135A81"/>
    <w:rsid w:val="001477AB"/>
    <w:rsid w:val="00147939"/>
    <w:rsid w:val="00151552"/>
    <w:rsid w:val="001524F8"/>
    <w:rsid w:val="00154570"/>
    <w:rsid w:val="00154E78"/>
    <w:rsid w:val="00164991"/>
    <w:rsid w:val="00164B7D"/>
    <w:rsid w:val="0016590D"/>
    <w:rsid w:val="00172B78"/>
    <w:rsid w:val="0017466B"/>
    <w:rsid w:val="001749F3"/>
    <w:rsid w:val="00175C9F"/>
    <w:rsid w:val="001762F5"/>
    <w:rsid w:val="00180224"/>
    <w:rsid w:val="0018089A"/>
    <w:rsid w:val="00180CEE"/>
    <w:rsid w:val="00182238"/>
    <w:rsid w:val="001919B2"/>
    <w:rsid w:val="00191F18"/>
    <w:rsid w:val="00191F9A"/>
    <w:rsid w:val="001923E3"/>
    <w:rsid w:val="00196B83"/>
    <w:rsid w:val="0019710E"/>
    <w:rsid w:val="001A2E19"/>
    <w:rsid w:val="001A3130"/>
    <w:rsid w:val="001A59F8"/>
    <w:rsid w:val="001A60F7"/>
    <w:rsid w:val="001B010B"/>
    <w:rsid w:val="001B5B91"/>
    <w:rsid w:val="001B6D35"/>
    <w:rsid w:val="001C3177"/>
    <w:rsid w:val="001D2A97"/>
    <w:rsid w:val="001E55AE"/>
    <w:rsid w:val="001E5AFD"/>
    <w:rsid w:val="001F40AD"/>
    <w:rsid w:val="001F74CE"/>
    <w:rsid w:val="001F7F60"/>
    <w:rsid w:val="00200F09"/>
    <w:rsid w:val="00201DBA"/>
    <w:rsid w:val="002028C5"/>
    <w:rsid w:val="0020401A"/>
    <w:rsid w:val="00206181"/>
    <w:rsid w:val="00212446"/>
    <w:rsid w:val="002136ED"/>
    <w:rsid w:val="00223F95"/>
    <w:rsid w:val="002246FD"/>
    <w:rsid w:val="00230B09"/>
    <w:rsid w:val="0023192E"/>
    <w:rsid w:val="0023216D"/>
    <w:rsid w:val="002360D0"/>
    <w:rsid w:val="0024474A"/>
    <w:rsid w:val="002452CB"/>
    <w:rsid w:val="0024696E"/>
    <w:rsid w:val="00247A30"/>
    <w:rsid w:val="00250ABB"/>
    <w:rsid w:val="00250F81"/>
    <w:rsid w:val="00254876"/>
    <w:rsid w:val="00260C3F"/>
    <w:rsid w:val="0026237B"/>
    <w:rsid w:val="00264314"/>
    <w:rsid w:val="00266A10"/>
    <w:rsid w:val="00266AAF"/>
    <w:rsid w:val="00272336"/>
    <w:rsid w:val="002739DF"/>
    <w:rsid w:val="00284ADF"/>
    <w:rsid w:val="00286146"/>
    <w:rsid w:val="00287619"/>
    <w:rsid w:val="00287B3D"/>
    <w:rsid w:val="00287BD5"/>
    <w:rsid w:val="002905A1"/>
    <w:rsid w:val="0029078D"/>
    <w:rsid w:val="00294C8F"/>
    <w:rsid w:val="002A2BE7"/>
    <w:rsid w:val="002A3A84"/>
    <w:rsid w:val="002B49F3"/>
    <w:rsid w:val="002B66A3"/>
    <w:rsid w:val="002B711E"/>
    <w:rsid w:val="002C1D78"/>
    <w:rsid w:val="002C3EF1"/>
    <w:rsid w:val="002C57C7"/>
    <w:rsid w:val="002C59FF"/>
    <w:rsid w:val="002D245F"/>
    <w:rsid w:val="002D2C57"/>
    <w:rsid w:val="002D6BC0"/>
    <w:rsid w:val="002E1CE9"/>
    <w:rsid w:val="002E3CF8"/>
    <w:rsid w:val="002F2285"/>
    <w:rsid w:val="002F3633"/>
    <w:rsid w:val="002F6B15"/>
    <w:rsid w:val="002F6D36"/>
    <w:rsid w:val="002F7968"/>
    <w:rsid w:val="00300813"/>
    <w:rsid w:val="00301B9E"/>
    <w:rsid w:val="003072FD"/>
    <w:rsid w:val="00307981"/>
    <w:rsid w:val="00311CBB"/>
    <w:rsid w:val="003174C7"/>
    <w:rsid w:val="0032144B"/>
    <w:rsid w:val="003215BB"/>
    <w:rsid w:val="00321A51"/>
    <w:rsid w:val="003221A7"/>
    <w:rsid w:val="0032794E"/>
    <w:rsid w:val="00332641"/>
    <w:rsid w:val="00333000"/>
    <w:rsid w:val="00333C28"/>
    <w:rsid w:val="00334EF1"/>
    <w:rsid w:val="00337738"/>
    <w:rsid w:val="0034034A"/>
    <w:rsid w:val="00340B73"/>
    <w:rsid w:val="00342234"/>
    <w:rsid w:val="0034563F"/>
    <w:rsid w:val="003469E7"/>
    <w:rsid w:val="00346B4A"/>
    <w:rsid w:val="00347EB9"/>
    <w:rsid w:val="0035003C"/>
    <w:rsid w:val="00351CE4"/>
    <w:rsid w:val="003552B2"/>
    <w:rsid w:val="003574F2"/>
    <w:rsid w:val="00357ABC"/>
    <w:rsid w:val="00362B80"/>
    <w:rsid w:val="00363232"/>
    <w:rsid w:val="003634C8"/>
    <w:rsid w:val="003641FC"/>
    <w:rsid w:val="00364586"/>
    <w:rsid w:val="00364B1B"/>
    <w:rsid w:val="00371BAA"/>
    <w:rsid w:val="003723EB"/>
    <w:rsid w:val="00372BA6"/>
    <w:rsid w:val="00374A5C"/>
    <w:rsid w:val="00380025"/>
    <w:rsid w:val="00380DEA"/>
    <w:rsid w:val="00381E2A"/>
    <w:rsid w:val="00386837"/>
    <w:rsid w:val="00390692"/>
    <w:rsid w:val="00392D7D"/>
    <w:rsid w:val="00394C22"/>
    <w:rsid w:val="003959C6"/>
    <w:rsid w:val="00397A9C"/>
    <w:rsid w:val="003A3223"/>
    <w:rsid w:val="003A69E8"/>
    <w:rsid w:val="003B0ADA"/>
    <w:rsid w:val="003B229F"/>
    <w:rsid w:val="003B2DF3"/>
    <w:rsid w:val="003B3FAB"/>
    <w:rsid w:val="003C18E4"/>
    <w:rsid w:val="003D0613"/>
    <w:rsid w:val="003D3D04"/>
    <w:rsid w:val="003D4436"/>
    <w:rsid w:val="003D7B98"/>
    <w:rsid w:val="003E1D63"/>
    <w:rsid w:val="003F122F"/>
    <w:rsid w:val="003F166A"/>
    <w:rsid w:val="003F55B1"/>
    <w:rsid w:val="003F57A7"/>
    <w:rsid w:val="00400ACC"/>
    <w:rsid w:val="00402CC7"/>
    <w:rsid w:val="00415914"/>
    <w:rsid w:val="00416DE9"/>
    <w:rsid w:val="00416E24"/>
    <w:rsid w:val="004177A6"/>
    <w:rsid w:val="00420954"/>
    <w:rsid w:val="004209D1"/>
    <w:rsid w:val="00423609"/>
    <w:rsid w:val="00424CF8"/>
    <w:rsid w:val="00426AD1"/>
    <w:rsid w:val="004316D5"/>
    <w:rsid w:val="00433346"/>
    <w:rsid w:val="00436178"/>
    <w:rsid w:val="00442486"/>
    <w:rsid w:val="0044780A"/>
    <w:rsid w:val="004522FF"/>
    <w:rsid w:val="0045466E"/>
    <w:rsid w:val="0045483E"/>
    <w:rsid w:val="00461A45"/>
    <w:rsid w:val="00464AC0"/>
    <w:rsid w:val="00465E26"/>
    <w:rsid w:val="00466F03"/>
    <w:rsid w:val="00470936"/>
    <w:rsid w:val="00472129"/>
    <w:rsid w:val="00475B3C"/>
    <w:rsid w:val="00475FBC"/>
    <w:rsid w:val="00480E65"/>
    <w:rsid w:val="00483229"/>
    <w:rsid w:val="00483A28"/>
    <w:rsid w:val="00485C8E"/>
    <w:rsid w:val="00487DC3"/>
    <w:rsid w:val="00492962"/>
    <w:rsid w:val="00493951"/>
    <w:rsid w:val="00494B22"/>
    <w:rsid w:val="00495EFC"/>
    <w:rsid w:val="0049640D"/>
    <w:rsid w:val="004A038A"/>
    <w:rsid w:val="004A05A0"/>
    <w:rsid w:val="004A2266"/>
    <w:rsid w:val="004A3137"/>
    <w:rsid w:val="004A4F1A"/>
    <w:rsid w:val="004A539A"/>
    <w:rsid w:val="004A7556"/>
    <w:rsid w:val="004B22FD"/>
    <w:rsid w:val="004B5AA5"/>
    <w:rsid w:val="004C25A3"/>
    <w:rsid w:val="004C61D1"/>
    <w:rsid w:val="004C6F66"/>
    <w:rsid w:val="004D0E49"/>
    <w:rsid w:val="004D1258"/>
    <w:rsid w:val="004D4982"/>
    <w:rsid w:val="004E1C28"/>
    <w:rsid w:val="004E5553"/>
    <w:rsid w:val="004E7B46"/>
    <w:rsid w:val="004F0A4D"/>
    <w:rsid w:val="004F1390"/>
    <w:rsid w:val="004F14EF"/>
    <w:rsid w:val="00502AE1"/>
    <w:rsid w:val="0050366F"/>
    <w:rsid w:val="0050458F"/>
    <w:rsid w:val="00504C20"/>
    <w:rsid w:val="0051179B"/>
    <w:rsid w:val="00512CFA"/>
    <w:rsid w:val="00513659"/>
    <w:rsid w:val="0051429E"/>
    <w:rsid w:val="00520F30"/>
    <w:rsid w:val="00530A97"/>
    <w:rsid w:val="00532D31"/>
    <w:rsid w:val="00535741"/>
    <w:rsid w:val="00536D56"/>
    <w:rsid w:val="00537C6E"/>
    <w:rsid w:val="005431B9"/>
    <w:rsid w:val="0054416C"/>
    <w:rsid w:val="00546224"/>
    <w:rsid w:val="00546ADB"/>
    <w:rsid w:val="00547222"/>
    <w:rsid w:val="00551E6A"/>
    <w:rsid w:val="0055440A"/>
    <w:rsid w:val="005548CD"/>
    <w:rsid w:val="00554A19"/>
    <w:rsid w:val="00563C6D"/>
    <w:rsid w:val="00566F43"/>
    <w:rsid w:val="00571681"/>
    <w:rsid w:val="00571DAC"/>
    <w:rsid w:val="0057313B"/>
    <w:rsid w:val="005748F5"/>
    <w:rsid w:val="0059278F"/>
    <w:rsid w:val="00593C4B"/>
    <w:rsid w:val="00594219"/>
    <w:rsid w:val="0059638F"/>
    <w:rsid w:val="00596AC0"/>
    <w:rsid w:val="005A73DD"/>
    <w:rsid w:val="005B3B29"/>
    <w:rsid w:val="005B44BD"/>
    <w:rsid w:val="005B6D77"/>
    <w:rsid w:val="005C0AA2"/>
    <w:rsid w:val="005C2631"/>
    <w:rsid w:val="005C5585"/>
    <w:rsid w:val="005D0041"/>
    <w:rsid w:val="005D394B"/>
    <w:rsid w:val="005D4106"/>
    <w:rsid w:val="005D588A"/>
    <w:rsid w:val="005D5BE3"/>
    <w:rsid w:val="005D783B"/>
    <w:rsid w:val="005E1C18"/>
    <w:rsid w:val="005E33FC"/>
    <w:rsid w:val="005E37D7"/>
    <w:rsid w:val="005E40A9"/>
    <w:rsid w:val="005E444B"/>
    <w:rsid w:val="005F201E"/>
    <w:rsid w:val="005F4110"/>
    <w:rsid w:val="005F49D2"/>
    <w:rsid w:val="005F6035"/>
    <w:rsid w:val="005F6DD6"/>
    <w:rsid w:val="00603777"/>
    <w:rsid w:val="0060415D"/>
    <w:rsid w:val="0060648D"/>
    <w:rsid w:val="00611982"/>
    <w:rsid w:val="00613C70"/>
    <w:rsid w:val="006163B4"/>
    <w:rsid w:val="00616D10"/>
    <w:rsid w:val="00617156"/>
    <w:rsid w:val="00617183"/>
    <w:rsid w:val="006205CF"/>
    <w:rsid w:val="00624AF8"/>
    <w:rsid w:val="00625306"/>
    <w:rsid w:val="006269B4"/>
    <w:rsid w:val="00637A14"/>
    <w:rsid w:val="00640AF2"/>
    <w:rsid w:val="00643F8B"/>
    <w:rsid w:val="00647B55"/>
    <w:rsid w:val="00654606"/>
    <w:rsid w:val="006547A5"/>
    <w:rsid w:val="00657871"/>
    <w:rsid w:val="006615B6"/>
    <w:rsid w:val="006621E8"/>
    <w:rsid w:val="00667A50"/>
    <w:rsid w:val="00667DEA"/>
    <w:rsid w:val="0067710D"/>
    <w:rsid w:val="00681928"/>
    <w:rsid w:val="0068407A"/>
    <w:rsid w:val="0068723C"/>
    <w:rsid w:val="0068780F"/>
    <w:rsid w:val="00691615"/>
    <w:rsid w:val="006918BF"/>
    <w:rsid w:val="006927D9"/>
    <w:rsid w:val="00693086"/>
    <w:rsid w:val="00695200"/>
    <w:rsid w:val="00697851"/>
    <w:rsid w:val="006A22E9"/>
    <w:rsid w:val="006C0150"/>
    <w:rsid w:val="006C0F6A"/>
    <w:rsid w:val="006C2642"/>
    <w:rsid w:val="006C40EF"/>
    <w:rsid w:val="006C7519"/>
    <w:rsid w:val="006D02EB"/>
    <w:rsid w:val="006E0B08"/>
    <w:rsid w:val="006E0D66"/>
    <w:rsid w:val="006E0D8D"/>
    <w:rsid w:val="006E0F2D"/>
    <w:rsid w:val="006E234F"/>
    <w:rsid w:val="006F5D59"/>
    <w:rsid w:val="006F6D20"/>
    <w:rsid w:val="00701703"/>
    <w:rsid w:val="0070464D"/>
    <w:rsid w:val="00707903"/>
    <w:rsid w:val="00715C9C"/>
    <w:rsid w:val="00723151"/>
    <w:rsid w:val="0072330B"/>
    <w:rsid w:val="00726979"/>
    <w:rsid w:val="007272BA"/>
    <w:rsid w:val="0072778B"/>
    <w:rsid w:val="00733D0A"/>
    <w:rsid w:val="00733DE1"/>
    <w:rsid w:val="00736D29"/>
    <w:rsid w:val="00745C1D"/>
    <w:rsid w:val="00745F03"/>
    <w:rsid w:val="00746947"/>
    <w:rsid w:val="00747826"/>
    <w:rsid w:val="00753FCE"/>
    <w:rsid w:val="00757342"/>
    <w:rsid w:val="00762593"/>
    <w:rsid w:val="0076551E"/>
    <w:rsid w:val="00767036"/>
    <w:rsid w:val="00770237"/>
    <w:rsid w:val="00776753"/>
    <w:rsid w:val="00776DDF"/>
    <w:rsid w:val="00787388"/>
    <w:rsid w:val="007909F4"/>
    <w:rsid w:val="00794033"/>
    <w:rsid w:val="00794FF8"/>
    <w:rsid w:val="00797B33"/>
    <w:rsid w:val="007A2469"/>
    <w:rsid w:val="007A3127"/>
    <w:rsid w:val="007A33D5"/>
    <w:rsid w:val="007A4121"/>
    <w:rsid w:val="007A485F"/>
    <w:rsid w:val="007A5664"/>
    <w:rsid w:val="007A65B4"/>
    <w:rsid w:val="007A77E0"/>
    <w:rsid w:val="007C0C4B"/>
    <w:rsid w:val="007C25C4"/>
    <w:rsid w:val="007C3A4E"/>
    <w:rsid w:val="007D2905"/>
    <w:rsid w:val="007E0AD1"/>
    <w:rsid w:val="007E19B2"/>
    <w:rsid w:val="007E4072"/>
    <w:rsid w:val="007F06C1"/>
    <w:rsid w:val="007F31BD"/>
    <w:rsid w:val="007F4079"/>
    <w:rsid w:val="007F5E9A"/>
    <w:rsid w:val="008068E6"/>
    <w:rsid w:val="00812EFB"/>
    <w:rsid w:val="0081357C"/>
    <w:rsid w:val="00814D89"/>
    <w:rsid w:val="008239D0"/>
    <w:rsid w:val="008269CB"/>
    <w:rsid w:val="00831FDA"/>
    <w:rsid w:val="0084199C"/>
    <w:rsid w:val="00846F89"/>
    <w:rsid w:val="00851745"/>
    <w:rsid w:val="008540EB"/>
    <w:rsid w:val="00860F07"/>
    <w:rsid w:val="00862FE5"/>
    <w:rsid w:val="00876786"/>
    <w:rsid w:val="008776E6"/>
    <w:rsid w:val="008861EF"/>
    <w:rsid w:val="008905DE"/>
    <w:rsid w:val="00891641"/>
    <w:rsid w:val="008918D6"/>
    <w:rsid w:val="00892D85"/>
    <w:rsid w:val="008A2CCC"/>
    <w:rsid w:val="008A48AF"/>
    <w:rsid w:val="008A6DD3"/>
    <w:rsid w:val="008B17A3"/>
    <w:rsid w:val="008B457B"/>
    <w:rsid w:val="008B5588"/>
    <w:rsid w:val="008C48CB"/>
    <w:rsid w:val="008C4DA7"/>
    <w:rsid w:val="008C4E28"/>
    <w:rsid w:val="008D1A87"/>
    <w:rsid w:val="008D78D8"/>
    <w:rsid w:val="008E0AD7"/>
    <w:rsid w:val="008E0CD7"/>
    <w:rsid w:val="008E167D"/>
    <w:rsid w:val="008F04AA"/>
    <w:rsid w:val="009009BF"/>
    <w:rsid w:val="00901CA4"/>
    <w:rsid w:val="00902DFD"/>
    <w:rsid w:val="00903C75"/>
    <w:rsid w:val="00904618"/>
    <w:rsid w:val="00904F2D"/>
    <w:rsid w:val="00905ED7"/>
    <w:rsid w:val="009131E9"/>
    <w:rsid w:val="0091331A"/>
    <w:rsid w:val="00913767"/>
    <w:rsid w:val="00913FE9"/>
    <w:rsid w:val="0091473D"/>
    <w:rsid w:val="00917ED4"/>
    <w:rsid w:val="00921245"/>
    <w:rsid w:val="00922CAA"/>
    <w:rsid w:val="00924C93"/>
    <w:rsid w:val="00930212"/>
    <w:rsid w:val="00930C9C"/>
    <w:rsid w:val="0093108B"/>
    <w:rsid w:val="00931350"/>
    <w:rsid w:val="00931C19"/>
    <w:rsid w:val="00932C74"/>
    <w:rsid w:val="009331DC"/>
    <w:rsid w:val="00933EA2"/>
    <w:rsid w:val="00933EE4"/>
    <w:rsid w:val="00936E23"/>
    <w:rsid w:val="009426C0"/>
    <w:rsid w:val="00946A77"/>
    <w:rsid w:val="0095072A"/>
    <w:rsid w:val="00950D2B"/>
    <w:rsid w:val="009519AD"/>
    <w:rsid w:val="00951B2A"/>
    <w:rsid w:val="0095306E"/>
    <w:rsid w:val="009612EF"/>
    <w:rsid w:val="00961AD8"/>
    <w:rsid w:val="0096332A"/>
    <w:rsid w:val="00963DC7"/>
    <w:rsid w:val="00966182"/>
    <w:rsid w:val="009714A4"/>
    <w:rsid w:val="00971F6D"/>
    <w:rsid w:val="0097343B"/>
    <w:rsid w:val="009753A3"/>
    <w:rsid w:val="00975496"/>
    <w:rsid w:val="00975C20"/>
    <w:rsid w:val="00982ED7"/>
    <w:rsid w:val="00983AA1"/>
    <w:rsid w:val="00990BF3"/>
    <w:rsid w:val="0099106B"/>
    <w:rsid w:val="00991BD4"/>
    <w:rsid w:val="00992E3A"/>
    <w:rsid w:val="00994F28"/>
    <w:rsid w:val="009A0FE5"/>
    <w:rsid w:val="009A13D9"/>
    <w:rsid w:val="009A3FD5"/>
    <w:rsid w:val="009A40A4"/>
    <w:rsid w:val="009A5173"/>
    <w:rsid w:val="009A5C1A"/>
    <w:rsid w:val="009A78B8"/>
    <w:rsid w:val="009A7D5B"/>
    <w:rsid w:val="009C4042"/>
    <w:rsid w:val="009C4930"/>
    <w:rsid w:val="009C50E4"/>
    <w:rsid w:val="009D2FC3"/>
    <w:rsid w:val="009D76CE"/>
    <w:rsid w:val="009E4841"/>
    <w:rsid w:val="009E558F"/>
    <w:rsid w:val="00A00BE1"/>
    <w:rsid w:val="00A01B17"/>
    <w:rsid w:val="00A02412"/>
    <w:rsid w:val="00A0528D"/>
    <w:rsid w:val="00A06D68"/>
    <w:rsid w:val="00A20BE7"/>
    <w:rsid w:val="00A20BE8"/>
    <w:rsid w:val="00A21F56"/>
    <w:rsid w:val="00A22BDD"/>
    <w:rsid w:val="00A26A1E"/>
    <w:rsid w:val="00A3092E"/>
    <w:rsid w:val="00A32448"/>
    <w:rsid w:val="00A366B3"/>
    <w:rsid w:val="00A36E06"/>
    <w:rsid w:val="00A37720"/>
    <w:rsid w:val="00A37A1E"/>
    <w:rsid w:val="00A42025"/>
    <w:rsid w:val="00A425E5"/>
    <w:rsid w:val="00A4453A"/>
    <w:rsid w:val="00A46AF2"/>
    <w:rsid w:val="00A476B2"/>
    <w:rsid w:val="00A5156A"/>
    <w:rsid w:val="00A560C5"/>
    <w:rsid w:val="00A56133"/>
    <w:rsid w:val="00A610AE"/>
    <w:rsid w:val="00A6140D"/>
    <w:rsid w:val="00A63A81"/>
    <w:rsid w:val="00A6411D"/>
    <w:rsid w:val="00A64351"/>
    <w:rsid w:val="00A71EB7"/>
    <w:rsid w:val="00A72D94"/>
    <w:rsid w:val="00A73240"/>
    <w:rsid w:val="00A74206"/>
    <w:rsid w:val="00A75BC9"/>
    <w:rsid w:val="00A76B94"/>
    <w:rsid w:val="00A86312"/>
    <w:rsid w:val="00A9364B"/>
    <w:rsid w:val="00A9395F"/>
    <w:rsid w:val="00AB0E81"/>
    <w:rsid w:val="00AB22C9"/>
    <w:rsid w:val="00AB2A19"/>
    <w:rsid w:val="00AB3BC7"/>
    <w:rsid w:val="00AB6E98"/>
    <w:rsid w:val="00AC1D93"/>
    <w:rsid w:val="00AC30F1"/>
    <w:rsid w:val="00AC6255"/>
    <w:rsid w:val="00AC7C90"/>
    <w:rsid w:val="00AD1A86"/>
    <w:rsid w:val="00AD36CC"/>
    <w:rsid w:val="00AD4324"/>
    <w:rsid w:val="00AD4743"/>
    <w:rsid w:val="00AD728A"/>
    <w:rsid w:val="00AD7600"/>
    <w:rsid w:val="00AE187D"/>
    <w:rsid w:val="00AE2CF0"/>
    <w:rsid w:val="00AE4CD2"/>
    <w:rsid w:val="00AE7CA8"/>
    <w:rsid w:val="00AE7F43"/>
    <w:rsid w:val="00AF3994"/>
    <w:rsid w:val="00AF3BA6"/>
    <w:rsid w:val="00AF7817"/>
    <w:rsid w:val="00AF7EFB"/>
    <w:rsid w:val="00B0279B"/>
    <w:rsid w:val="00B02E06"/>
    <w:rsid w:val="00B0571C"/>
    <w:rsid w:val="00B07C19"/>
    <w:rsid w:val="00B10539"/>
    <w:rsid w:val="00B17746"/>
    <w:rsid w:val="00B200F6"/>
    <w:rsid w:val="00B23C9E"/>
    <w:rsid w:val="00B254C4"/>
    <w:rsid w:val="00B27E0D"/>
    <w:rsid w:val="00B32F0E"/>
    <w:rsid w:val="00B33F6B"/>
    <w:rsid w:val="00B3407F"/>
    <w:rsid w:val="00B34B96"/>
    <w:rsid w:val="00B4224E"/>
    <w:rsid w:val="00B4709A"/>
    <w:rsid w:val="00B50D04"/>
    <w:rsid w:val="00B62049"/>
    <w:rsid w:val="00B6319C"/>
    <w:rsid w:val="00B63D71"/>
    <w:rsid w:val="00B648B8"/>
    <w:rsid w:val="00B652EF"/>
    <w:rsid w:val="00B706D3"/>
    <w:rsid w:val="00B7257E"/>
    <w:rsid w:val="00B742C1"/>
    <w:rsid w:val="00B757BC"/>
    <w:rsid w:val="00B769EB"/>
    <w:rsid w:val="00B7743D"/>
    <w:rsid w:val="00B80A96"/>
    <w:rsid w:val="00B8102E"/>
    <w:rsid w:val="00B8280E"/>
    <w:rsid w:val="00B912F6"/>
    <w:rsid w:val="00B91FF7"/>
    <w:rsid w:val="00B9639D"/>
    <w:rsid w:val="00B97237"/>
    <w:rsid w:val="00BA1944"/>
    <w:rsid w:val="00BA22A0"/>
    <w:rsid w:val="00BA40EE"/>
    <w:rsid w:val="00BA7A7D"/>
    <w:rsid w:val="00BA7EA0"/>
    <w:rsid w:val="00BB1AE0"/>
    <w:rsid w:val="00BB2453"/>
    <w:rsid w:val="00BB3A1A"/>
    <w:rsid w:val="00BB4DD4"/>
    <w:rsid w:val="00BB65E0"/>
    <w:rsid w:val="00BB7EF4"/>
    <w:rsid w:val="00BC0B53"/>
    <w:rsid w:val="00BC314A"/>
    <w:rsid w:val="00BC3404"/>
    <w:rsid w:val="00BC618F"/>
    <w:rsid w:val="00BD0EF8"/>
    <w:rsid w:val="00BD193C"/>
    <w:rsid w:val="00BD3B1D"/>
    <w:rsid w:val="00BD5949"/>
    <w:rsid w:val="00BD643C"/>
    <w:rsid w:val="00BD688A"/>
    <w:rsid w:val="00BD7BFD"/>
    <w:rsid w:val="00BE134B"/>
    <w:rsid w:val="00BE4023"/>
    <w:rsid w:val="00BF0A03"/>
    <w:rsid w:val="00BF0DC3"/>
    <w:rsid w:val="00BF2899"/>
    <w:rsid w:val="00BF2CF2"/>
    <w:rsid w:val="00BF701A"/>
    <w:rsid w:val="00BF713B"/>
    <w:rsid w:val="00C0448A"/>
    <w:rsid w:val="00C10A49"/>
    <w:rsid w:val="00C111DB"/>
    <w:rsid w:val="00C13B84"/>
    <w:rsid w:val="00C22E1C"/>
    <w:rsid w:val="00C308BB"/>
    <w:rsid w:val="00C33B3A"/>
    <w:rsid w:val="00C356C7"/>
    <w:rsid w:val="00C36AA2"/>
    <w:rsid w:val="00C418BA"/>
    <w:rsid w:val="00C45FE9"/>
    <w:rsid w:val="00C50236"/>
    <w:rsid w:val="00C50BC1"/>
    <w:rsid w:val="00C52783"/>
    <w:rsid w:val="00C66A52"/>
    <w:rsid w:val="00C66C8B"/>
    <w:rsid w:val="00C7039E"/>
    <w:rsid w:val="00C70E8D"/>
    <w:rsid w:val="00C73273"/>
    <w:rsid w:val="00C75192"/>
    <w:rsid w:val="00C76DA1"/>
    <w:rsid w:val="00C773EA"/>
    <w:rsid w:val="00C77FA2"/>
    <w:rsid w:val="00C85BEB"/>
    <w:rsid w:val="00C877BE"/>
    <w:rsid w:val="00C94FB7"/>
    <w:rsid w:val="00CA16AC"/>
    <w:rsid w:val="00CA1CD9"/>
    <w:rsid w:val="00CA4C4F"/>
    <w:rsid w:val="00CA7E52"/>
    <w:rsid w:val="00CB0F40"/>
    <w:rsid w:val="00CB32A3"/>
    <w:rsid w:val="00CB3347"/>
    <w:rsid w:val="00CB4693"/>
    <w:rsid w:val="00CB5ADA"/>
    <w:rsid w:val="00CB7787"/>
    <w:rsid w:val="00CC52A9"/>
    <w:rsid w:val="00CC6442"/>
    <w:rsid w:val="00CC7FF9"/>
    <w:rsid w:val="00CD1AF6"/>
    <w:rsid w:val="00CD27EE"/>
    <w:rsid w:val="00CE1F8D"/>
    <w:rsid w:val="00CE29A9"/>
    <w:rsid w:val="00CE30B7"/>
    <w:rsid w:val="00CE5730"/>
    <w:rsid w:val="00CE6EA8"/>
    <w:rsid w:val="00CF15E0"/>
    <w:rsid w:val="00CF16C4"/>
    <w:rsid w:val="00CF47B1"/>
    <w:rsid w:val="00D0264F"/>
    <w:rsid w:val="00D04DE9"/>
    <w:rsid w:val="00D065F8"/>
    <w:rsid w:val="00D13CB4"/>
    <w:rsid w:val="00D1576E"/>
    <w:rsid w:val="00D1654D"/>
    <w:rsid w:val="00D17934"/>
    <w:rsid w:val="00D24CDE"/>
    <w:rsid w:val="00D266F1"/>
    <w:rsid w:val="00D278E1"/>
    <w:rsid w:val="00D30E0A"/>
    <w:rsid w:val="00D3265B"/>
    <w:rsid w:val="00D35582"/>
    <w:rsid w:val="00D35653"/>
    <w:rsid w:val="00D35DCE"/>
    <w:rsid w:val="00D4069C"/>
    <w:rsid w:val="00D41987"/>
    <w:rsid w:val="00D43787"/>
    <w:rsid w:val="00D43D53"/>
    <w:rsid w:val="00D4580D"/>
    <w:rsid w:val="00D460C2"/>
    <w:rsid w:val="00D51D18"/>
    <w:rsid w:val="00D544F0"/>
    <w:rsid w:val="00D5775B"/>
    <w:rsid w:val="00D62C3B"/>
    <w:rsid w:val="00D63EB1"/>
    <w:rsid w:val="00D63FA9"/>
    <w:rsid w:val="00D707AA"/>
    <w:rsid w:val="00D72021"/>
    <w:rsid w:val="00D73879"/>
    <w:rsid w:val="00D759B4"/>
    <w:rsid w:val="00D8639E"/>
    <w:rsid w:val="00D86667"/>
    <w:rsid w:val="00D8707D"/>
    <w:rsid w:val="00D94B4A"/>
    <w:rsid w:val="00D950EC"/>
    <w:rsid w:val="00D95C3E"/>
    <w:rsid w:val="00D97582"/>
    <w:rsid w:val="00DA2CA9"/>
    <w:rsid w:val="00DA3EC9"/>
    <w:rsid w:val="00DA3EF0"/>
    <w:rsid w:val="00DA573D"/>
    <w:rsid w:val="00DA5A72"/>
    <w:rsid w:val="00DB2E02"/>
    <w:rsid w:val="00DB3EF8"/>
    <w:rsid w:val="00DB62B8"/>
    <w:rsid w:val="00DC12A8"/>
    <w:rsid w:val="00DC3C6A"/>
    <w:rsid w:val="00DC6BCC"/>
    <w:rsid w:val="00DC75A3"/>
    <w:rsid w:val="00DD000A"/>
    <w:rsid w:val="00DD3453"/>
    <w:rsid w:val="00DD5916"/>
    <w:rsid w:val="00DD7DC8"/>
    <w:rsid w:val="00DE2364"/>
    <w:rsid w:val="00DF1087"/>
    <w:rsid w:val="00DF1680"/>
    <w:rsid w:val="00DF4BE1"/>
    <w:rsid w:val="00E009F7"/>
    <w:rsid w:val="00E04844"/>
    <w:rsid w:val="00E07E32"/>
    <w:rsid w:val="00E10127"/>
    <w:rsid w:val="00E247E0"/>
    <w:rsid w:val="00E250BA"/>
    <w:rsid w:val="00E26B1B"/>
    <w:rsid w:val="00E26B5F"/>
    <w:rsid w:val="00E26B66"/>
    <w:rsid w:val="00E26BA6"/>
    <w:rsid w:val="00E2786A"/>
    <w:rsid w:val="00E27E3C"/>
    <w:rsid w:val="00E33E4F"/>
    <w:rsid w:val="00E3445F"/>
    <w:rsid w:val="00E40E95"/>
    <w:rsid w:val="00E435FA"/>
    <w:rsid w:val="00E439CF"/>
    <w:rsid w:val="00E45128"/>
    <w:rsid w:val="00E45D39"/>
    <w:rsid w:val="00E56546"/>
    <w:rsid w:val="00E56E40"/>
    <w:rsid w:val="00E606D8"/>
    <w:rsid w:val="00E66393"/>
    <w:rsid w:val="00E66609"/>
    <w:rsid w:val="00E7254F"/>
    <w:rsid w:val="00E834AD"/>
    <w:rsid w:val="00E84AE4"/>
    <w:rsid w:val="00E901E1"/>
    <w:rsid w:val="00E914B6"/>
    <w:rsid w:val="00E9248E"/>
    <w:rsid w:val="00E9389F"/>
    <w:rsid w:val="00E94986"/>
    <w:rsid w:val="00E94E66"/>
    <w:rsid w:val="00EA0E35"/>
    <w:rsid w:val="00EA6E67"/>
    <w:rsid w:val="00EB08B2"/>
    <w:rsid w:val="00EB105E"/>
    <w:rsid w:val="00EC07F4"/>
    <w:rsid w:val="00EC242A"/>
    <w:rsid w:val="00EC4462"/>
    <w:rsid w:val="00EC4E5F"/>
    <w:rsid w:val="00ED0320"/>
    <w:rsid w:val="00ED0FA6"/>
    <w:rsid w:val="00ED245A"/>
    <w:rsid w:val="00ED2531"/>
    <w:rsid w:val="00ED29AD"/>
    <w:rsid w:val="00ED3114"/>
    <w:rsid w:val="00EE060A"/>
    <w:rsid w:val="00EE4D1B"/>
    <w:rsid w:val="00EF0875"/>
    <w:rsid w:val="00EF5221"/>
    <w:rsid w:val="00F00639"/>
    <w:rsid w:val="00F01321"/>
    <w:rsid w:val="00F04EDB"/>
    <w:rsid w:val="00F04F66"/>
    <w:rsid w:val="00F05ABD"/>
    <w:rsid w:val="00F06F66"/>
    <w:rsid w:val="00F11630"/>
    <w:rsid w:val="00F1448F"/>
    <w:rsid w:val="00F15ED7"/>
    <w:rsid w:val="00F16789"/>
    <w:rsid w:val="00F178C7"/>
    <w:rsid w:val="00F21CB1"/>
    <w:rsid w:val="00F331F0"/>
    <w:rsid w:val="00F333CE"/>
    <w:rsid w:val="00F36F8D"/>
    <w:rsid w:val="00F37F08"/>
    <w:rsid w:val="00F44393"/>
    <w:rsid w:val="00F443AA"/>
    <w:rsid w:val="00F45D80"/>
    <w:rsid w:val="00F50B16"/>
    <w:rsid w:val="00F51246"/>
    <w:rsid w:val="00F523DD"/>
    <w:rsid w:val="00F5375A"/>
    <w:rsid w:val="00F543C4"/>
    <w:rsid w:val="00F54E34"/>
    <w:rsid w:val="00F6325B"/>
    <w:rsid w:val="00F65B4F"/>
    <w:rsid w:val="00F66D89"/>
    <w:rsid w:val="00F70A09"/>
    <w:rsid w:val="00F70F18"/>
    <w:rsid w:val="00F8552D"/>
    <w:rsid w:val="00F86F60"/>
    <w:rsid w:val="00F909CE"/>
    <w:rsid w:val="00F90A39"/>
    <w:rsid w:val="00F9442D"/>
    <w:rsid w:val="00FA217A"/>
    <w:rsid w:val="00FB04C3"/>
    <w:rsid w:val="00FB0D5E"/>
    <w:rsid w:val="00FB34A4"/>
    <w:rsid w:val="00FC417D"/>
    <w:rsid w:val="00FC7139"/>
    <w:rsid w:val="00FC7C0F"/>
    <w:rsid w:val="00FD20FD"/>
    <w:rsid w:val="00FD59CC"/>
    <w:rsid w:val="00FE1F3A"/>
    <w:rsid w:val="00FE6947"/>
    <w:rsid w:val="00FE7F1C"/>
    <w:rsid w:val="00FF7648"/>
    <w:rsid w:val="00FF779B"/>
    <w:rsid w:val="00FF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A72"/>
    <w:pPr>
      <w:jc w:val="both"/>
    </w:pPr>
    <w:rPr>
      <w:sz w:val="24"/>
      <w:lang w:eastAsia="en-US"/>
    </w:rPr>
  </w:style>
  <w:style w:type="paragraph" w:styleId="Heading1">
    <w:name w:val="heading 1"/>
    <w:basedOn w:val="Normal"/>
    <w:next w:val="Normal"/>
    <w:qFormat/>
    <w:rsid w:val="0029078D"/>
    <w:pPr>
      <w:keepNext/>
      <w:spacing w:before="240" w:after="120"/>
      <w:jc w:val="left"/>
      <w:outlineLvl w:val="0"/>
    </w:pPr>
    <w:rPr>
      <w:rFonts w:ascii="Times New Roman Bold" w:hAnsi="Times New Roman Bold" w:cs="Arial"/>
      <w:b/>
      <w:bCs/>
      <w:kern w:val="32"/>
      <w:szCs w:val="24"/>
    </w:rPr>
  </w:style>
  <w:style w:type="paragraph" w:styleId="Heading2">
    <w:name w:val="heading 2"/>
    <w:basedOn w:val="Normal"/>
    <w:next w:val="Normal"/>
    <w:qFormat/>
    <w:rsid w:val="005D588A"/>
    <w:pPr>
      <w:keepNext/>
      <w:spacing w:before="240" w:after="60"/>
      <w:ind w:left="720"/>
      <w:outlineLvl w:val="1"/>
    </w:pPr>
    <w:rPr>
      <w:rFonts w:cs="Arial"/>
      <w:bCs/>
      <w:i/>
      <w:iCs/>
      <w:szCs w:val="28"/>
    </w:rPr>
  </w:style>
  <w:style w:type="paragraph" w:styleId="Heading3">
    <w:name w:val="heading 3"/>
    <w:basedOn w:val="Normal"/>
    <w:next w:val="Normal"/>
    <w:qFormat/>
    <w:rsid w:val="005D58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6DD6"/>
    <w:pPr>
      <w:tabs>
        <w:tab w:val="center" w:pos="4153"/>
        <w:tab w:val="right" w:pos="8306"/>
      </w:tabs>
    </w:pPr>
  </w:style>
  <w:style w:type="paragraph" w:styleId="Footer">
    <w:name w:val="footer"/>
    <w:basedOn w:val="Normal"/>
    <w:rsid w:val="00946A77"/>
    <w:pPr>
      <w:tabs>
        <w:tab w:val="center" w:pos="4153"/>
        <w:tab w:val="right" w:pos="8306"/>
      </w:tabs>
      <w:jc w:val="left"/>
    </w:pPr>
  </w:style>
  <w:style w:type="character" w:styleId="Hyperlink">
    <w:name w:val="Hyperlink"/>
    <w:basedOn w:val="DefaultParagraphFont"/>
    <w:rsid w:val="005F6DD6"/>
    <w:rPr>
      <w:rFonts w:cs="Times New Roman"/>
      <w:color w:val="0000FF"/>
      <w:u w:val="single"/>
    </w:rPr>
  </w:style>
  <w:style w:type="character" w:styleId="PageNumber">
    <w:name w:val="page number"/>
    <w:basedOn w:val="DefaultParagraphFont"/>
    <w:rsid w:val="005F6DD6"/>
    <w:rPr>
      <w:rFonts w:cs="Times New Roman"/>
    </w:rPr>
  </w:style>
  <w:style w:type="character" w:styleId="Emphasis">
    <w:name w:val="Emphasis"/>
    <w:basedOn w:val="DefaultParagraphFont"/>
    <w:qFormat/>
    <w:rsid w:val="005F6DD6"/>
    <w:rPr>
      <w:caps/>
      <w:spacing w:val="10"/>
      <w:sz w:val="16"/>
    </w:rPr>
  </w:style>
  <w:style w:type="paragraph" w:customStyle="1" w:styleId="MessageHeaderLast">
    <w:name w:val="Message Header Last"/>
    <w:basedOn w:val="MessageHeader"/>
    <w:next w:val="BodyText"/>
    <w:rsid w:val="005F6DD6"/>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938"/>
        <w:tab w:val="left" w:pos="5040"/>
        <w:tab w:val="right" w:pos="8640"/>
      </w:tabs>
      <w:spacing w:before="13" w:after="40" w:line="140" w:lineRule="atLeast"/>
      <w:ind w:left="0" w:firstLine="0"/>
    </w:pPr>
    <w:rPr>
      <w:rFonts w:ascii="Garamond" w:hAnsi="Garamond"/>
      <w:spacing w:val="-5"/>
    </w:rPr>
  </w:style>
  <w:style w:type="paragraph" w:styleId="MessageHeader">
    <w:name w:val="Message Header"/>
    <w:basedOn w:val="Normal"/>
    <w:rsid w:val="005F6D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odyText">
    <w:name w:val="Body Text"/>
    <w:basedOn w:val="Normal"/>
    <w:rsid w:val="005F6DD6"/>
    <w:pPr>
      <w:spacing w:after="120"/>
    </w:pPr>
  </w:style>
  <w:style w:type="paragraph" w:styleId="FootnoteText">
    <w:name w:val="footnote text"/>
    <w:basedOn w:val="Normal"/>
    <w:link w:val="FootnoteTextChar"/>
    <w:semiHidden/>
    <w:rsid w:val="00932C74"/>
    <w:pPr>
      <w:tabs>
        <w:tab w:val="left" w:pos="567"/>
        <w:tab w:val="left" w:pos="1134"/>
        <w:tab w:val="left" w:pos="1701"/>
        <w:tab w:val="left" w:pos="5670"/>
        <w:tab w:val="right" w:pos="9072"/>
      </w:tabs>
    </w:pPr>
    <w:rPr>
      <w:sz w:val="20"/>
    </w:rPr>
  </w:style>
  <w:style w:type="character" w:customStyle="1" w:styleId="FootnoteTextChar">
    <w:name w:val="Footnote Text Char"/>
    <w:basedOn w:val="DefaultParagraphFont"/>
    <w:link w:val="FootnoteText"/>
    <w:semiHidden/>
    <w:locked/>
    <w:rsid w:val="00932C74"/>
    <w:rPr>
      <w:rFonts w:cs="Times New Roman"/>
      <w:lang w:val="en-GB" w:eastAsia="en-US" w:bidi="ar-SA"/>
    </w:rPr>
  </w:style>
  <w:style w:type="character" w:styleId="FootnoteReference">
    <w:name w:val="footnote reference"/>
    <w:basedOn w:val="DefaultParagraphFont"/>
    <w:semiHidden/>
    <w:rsid w:val="00932C74"/>
    <w:rPr>
      <w:rFonts w:cs="Times New Roman"/>
      <w:vertAlign w:val="superscript"/>
    </w:rPr>
  </w:style>
  <w:style w:type="paragraph" w:styleId="BalloonText">
    <w:name w:val="Balloon Text"/>
    <w:basedOn w:val="Normal"/>
    <w:semiHidden/>
    <w:rsid w:val="003D0613"/>
    <w:rPr>
      <w:rFonts w:ascii="Tahoma" w:hAnsi="Tahoma" w:cs="Tahoma"/>
      <w:sz w:val="16"/>
      <w:szCs w:val="16"/>
    </w:rPr>
  </w:style>
  <w:style w:type="character" w:styleId="CommentReference">
    <w:name w:val="annotation reference"/>
    <w:basedOn w:val="DefaultParagraphFont"/>
    <w:semiHidden/>
    <w:rsid w:val="00F1448F"/>
    <w:rPr>
      <w:rFonts w:cs="Times New Roman"/>
      <w:sz w:val="16"/>
      <w:szCs w:val="16"/>
    </w:rPr>
  </w:style>
  <w:style w:type="paragraph" w:styleId="CommentText">
    <w:name w:val="annotation text"/>
    <w:basedOn w:val="Normal"/>
    <w:semiHidden/>
    <w:rsid w:val="00F1448F"/>
    <w:rPr>
      <w:sz w:val="20"/>
    </w:rPr>
  </w:style>
  <w:style w:type="paragraph" w:styleId="CommentSubject">
    <w:name w:val="annotation subject"/>
    <w:basedOn w:val="CommentText"/>
    <w:next w:val="CommentText"/>
    <w:semiHidden/>
    <w:rsid w:val="00F1448F"/>
    <w:rPr>
      <w:b/>
      <w:bCs/>
    </w:rPr>
  </w:style>
  <w:style w:type="character" w:customStyle="1" w:styleId="apple-style-span">
    <w:name w:val="apple-style-span"/>
    <w:basedOn w:val="DefaultParagraphFont"/>
    <w:rsid w:val="00603777"/>
    <w:rPr>
      <w:rFonts w:cs="Times New Roman"/>
    </w:rPr>
  </w:style>
  <w:style w:type="character" w:customStyle="1" w:styleId="apple-converted-space">
    <w:name w:val="apple-converted-space"/>
    <w:basedOn w:val="DefaultParagraphFont"/>
    <w:rsid w:val="00F9442D"/>
    <w:rPr>
      <w:rFonts w:cs="Times New Roman"/>
    </w:rPr>
  </w:style>
  <w:style w:type="paragraph" w:customStyle="1" w:styleId="TableTitle">
    <w:name w:val="Table Title"/>
    <w:basedOn w:val="Normal"/>
    <w:rsid w:val="00D1654D"/>
    <w:pPr>
      <w:keepNext/>
      <w:tabs>
        <w:tab w:val="left" w:pos="850"/>
        <w:tab w:val="left" w:pos="1191"/>
        <w:tab w:val="left" w:pos="1531"/>
      </w:tabs>
      <w:spacing w:after="240"/>
      <w:jc w:val="center"/>
    </w:pPr>
    <w:rPr>
      <w:rFonts w:ascii="Arial" w:hAnsi="Arial" w:cs="Arial"/>
      <w:b/>
      <w:bCs/>
      <w:sz w:val="18"/>
      <w:szCs w:val="22"/>
      <w:lang w:eastAsia="zh-CN"/>
    </w:rPr>
  </w:style>
  <w:style w:type="paragraph" w:styleId="TOC1">
    <w:name w:val="toc 1"/>
    <w:basedOn w:val="Normal"/>
    <w:next w:val="Normal"/>
    <w:autoRedefine/>
    <w:semiHidden/>
    <w:rsid w:val="003A3223"/>
    <w:rPr>
      <w:sz w:val="20"/>
    </w:rPr>
  </w:style>
  <w:style w:type="paragraph" w:styleId="TOC2">
    <w:name w:val="toc 2"/>
    <w:basedOn w:val="Normal"/>
    <w:next w:val="Normal"/>
    <w:autoRedefine/>
    <w:semiHidden/>
    <w:rsid w:val="00946A77"/>
    <w:pPr>
      <w:tabs>
        <w:tab w:val="right" w:leader="dot" w:pos="9061"/>
      </w:tabs>
      <w:spacing w:before="120"/>
    </w:pPr>
    <w:rPr>
      <w:i/>
    </w:rPr>
  </w:style>
  <w:style w:type="paragraph" w:styleId="DocumentMap">
    <w:name w:val="Document Map"/>
    <w:basedOn w:val="Normal"/>
    <w:semiHidden/>
    <w:rsid w:val="001E5AFD"/>
    <w:pPr>
      <w:shd w:val="clear" w:color="auto" w:fill="000080"/>
    </w:pPr>
    <w:rPr>
      <w:rFonts w:ascii="Tahoma" w:hAnsi="Tahoma" w:cs="Tahoma"/>
      <w:sz w:val="20"/>
    </w:rPr>
  </w:style>
  <w:style w:type="paragraph" w:styleId="ListParagraph">
    <w:name w:val="List Paragraph"/>
    <w:basedOn w:val="Normal"/>
    <w:uiPriority w:val="34"/>
    <w:qFormat/>
    <w:rsid w:val="00492962"/>
    <w:pPr>
      <w:ind w:left="720"/>
    </w:pPr>
  </w:style>
  <w:style w:type="paragraph" w:styleId="ListBullet">
    <w:name w:val="List Bullet"/>
    <w:basedOn w:val="Normal"/>
    <w:rsid w:val="00C7039E"/>
    <w:pPr>
      <w:numPr>
        <w:numId w:val="17"/>
      </w:numPr>
      <w:spacing w:after="240"/>
    </w:pPr>
    <w:rPr>
      <w:szCs w:val="22"/>
      <w:lang w:eastAsia="zh-CN"/>
    </w:rPr>
  </w:style>
  <w:style w:type="paragraph" w:customStyle="1" w:styleId="Num-DocParagraph">
    <w:name w:val="Num-Doc Paragraph"/>
    <w:basedOn w:val="BodyText"/>
    <w:rsid w:val="00C7039E"/>
    <w:pPr>
      <w:tabs>
        <w:tab w:val="left" w:pos="850"/>
        <w:tab w:val="left" w:pos="1191"/>
        <w:tab w:val="left" w:pos="1531"/>
      </w:tabs>
      <w:spacing w:after="240"/>
    </w:pPr>
    <w:rPr>
      <w:szCs w:val="22"/>
      <w:lang w:eastAsia="zh-CN"/>
    </w:rPr>
  </w:style>
  <w:style w:type="table" w:styleId="TableGrid">
    <w:name w:val="Table Grid"/>
    <w:basedOn w:val="TableNormal"/>
    <w:rsid w:val="00D43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96"/>
              <w:marRight w:val="0"/>
              <w:marTop w:val="0"/>
              <w:marBottom w:val="0"/>
              <w:divBdr>
                <w:top w:val="none" w:sz="0" w:space="0" w:color="auto"/>
                <w:left w:val="single" w:sz="6" w:space="6" w:color="CCCCCC"/>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96"/>
              <w:marRight w:val="0"/>
              <w:marTop w:val="0"/>
              <w:marBottom w:val="0"/>
              <w:divBdr>
                <w:top w:val="none" w:sz="0" w:space="0" w:color="auto"/>
                <w:left w:val="single" w:sz="6" w:space="6" w:color="CCCCCC"/>
                <w:bottom w:val="none" w:sz="0" w:space="0" w:color="auto"/>
                <w:right w:val="none" w:sz="0" w:space="0" w:color="auto"/>
              </w:divBdr>
            </w:div>
            <w:div w:id="5">
              <w:marLeft w:val="96"/>
              <w:marRight w:val="0"/>
              <w:marTop w:val="0"/>
              <w:marBottom w:val="0"/>
              <w:divBdr>
                <w:top w:val="none" w:sz="0" w:space="0" w:color="auto"/>
                <w:left w:val="single" w:sz="6" w:space="6" w:color="CCCCCC"/>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0394-512E-45C1-8B9B-B07EAD80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B7AD3D84.dotm</Template>
  <TotalTime>0</TotalTime>
  <Pages>6</Pages>
  <Words>2205</Words>
  <Characters>12575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Consultation with the OECD Committee on Corporate Governance</vt:lpstr>
    </vt:vector>
  </TitlesOfParts>
  <Company>TUAC</Company>
  <LinksUpToDate>false</LinksUpToDate>
  <CharactersWithSpaces>14751</CharactersWithSpaces>
  <SharedDoc>false</SharedDoc>
  <HLinks>
    <vt:vector size="6" baseType="variant">
      <vt:variant>
        <vt:i4>2555953</vt:i4>
      </vt:variant>
      <vt:variant>
        <vt:i4>0</vt:i4>
      </vt:variant>
      <vt:variant>
        <vt:i4>0</vt:i4>
      </vt:variant>
      <vt:variant>
        <vt:i4>5</vt:i4>
      </vt:variant>
      <vt:variant>
        <vt:lpwstr>http://www.oecd.org/daf/corporateaffairs/corporategovernanceprinciples/44679170.pdf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with the OECD Committee on Corporate Governance</dc:title>
  <dc:creator>pierreh</dc:creator>
  <cp:lastModifiedBy>BYHOVSKAYA Anna</cp:lastModifiedBy>
  <cp:revision>2</cp:revision>
  <cp:lastPrinted>2015-01-09T08:33:00Z</cp:lastPrinted>
  <dcterms:created xsi:type="dcterms:W3CDTF">2015-01-14T17:24:00Z</dcterms:created>
  <dcterms:modified xsi:type="dcterms:W3CDTF">2015-01-14T17:24:00Z</dcterms:modified>
</cp:coreProperties>
</file>